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C7" w:rsidRDefault="005C5E0B">
      <w:pPr>
        <w:pStyle w:val="Body"/>
        <w:rPr>
          <w:rFonts w:ascii="Times New Roman" w:eastAsia="Times New Roman" w:hAnsi="Times New Roman" w:cs="Times New Roman"/>
          <w:sz w:val="24"/>
          <w:szCs w:val="24"/>
        </w:rPr>
      </w:pPr>
      <w:r>
        <w:rPr>
          <w:rFonts w:ascii="Times New Roman"/>
          <w:sz w:val="24"/>
          <w:szCs w:val="24"/>
        </w:rPr>
        <w:t>TO: Jaime Prince</w:t>
      </w:r>
    </w:p>
    <w:p w:rsidR="00BF26C7" w:rsidRDefault="005C5E0B">
      <w:pPr>
        <w:pStyle w:val="Body"/>
        <w:rPr>
          <w:rFonts w:ascii="Times New Roman" w:eastAsia="Times New Roman" w:hAnsi="Times New Roman" w:cs="Times New Roman"/>
          <w:sz w:val="24"/>
          <w:szCs w:val="24"/>
        </w:rPr>
      </w:pPr>
      <w:r>
        <w:rPr>
          <w:rFonts w:ascii="Times New Roman"/>
          <w:sz w:val="24"/>
          <w:szCs w:val="24"/>
        </w:rPr>
        <w:t>FROM: Intern</w:t>
      </w:r>
    </w:p>
    <w:p w:rsidR="00BF26C7" w:rsidRDefault="005C5E0B">
      <w:pPr>
        <w:pStyle w:val="Body"/>
        <w:rPr>
          <w:rFonts w:ascii="Times New Roman" w:eastAsia="Times New Roman" w:hAnsi="Times New Roman" w:cs="Times New Roman"/>
          <w:sz w:val="24"/>
          <w:szCs w:val="24"/>
        </w:rPr>
      </w:pPr>
      <w:r>
        <w:rPr>
          <w:rFonts w:ascii="Times New Roman"/>
          <w:sz w:val="24"/>
          <w:szCs w:val="24"/>
        </w:rPr>
        <w:t>DATE: October 20, 2015</w:t>
      </w:r>
    </w:p>
    <w:p w:rsidR="00BF26C7" w:rsidRDefault="005C5E0B">
      <w:pPr>
        <w:pStyle w:val="Body"/>
        <w:rPr>
          <w:rFonts w:ascii="Times New Roman" w:eastAsia="Times New Roman" w:hAnsi="Times New Roman" w:cs="Times New Roman"/>
          <w:sz w:val="24"/>
          <w:szCs w:val="24"/>
        </w:rPr>
      </w:pPr>
      <w:r>
        <w:rPr>
          <w:rFonts w:ascii="Times New Roman"/>
          <w:sz w:val="24"/>
          <w:szCs w:val="24"/>
        </w:rPr>
        <w:t>RE: Multi-Party Issue Preservation ______________________________________________________________________________</w:t>
      </w:r>
    </w:p>
    <w:p w:rsidR="00BF26C7" w:rsidRDefault="00BF26C7">
      <w:pPr>
        <w:pStyle w:val="Body"/>
        <w:rPr>
          <w:rFonts w:ascii="Times New Roman" w:eastAsia="Times New Roman" w:hAnsi="Times New Roman" w:cs="Times New Roman"/>
          <w:sz w:val="24"/>
          <w:szCs w:val="24"/>
        </w:rPr>
      </w:pPr>
    </w:p>
    <w:p w:rsidR="00BF26C7" w:rsidRDefault="005C5E0B">
      <w:pPr>
        <w:pStyle w:val="Body"/>
        <w:spacing w:line="480" w:lineRule="auto"/>
        <w:jc w:val="center"/>
        <w:rPr>
          <w:rFonts w:ascii="Times New Roman" w:eastAsia="Times New Roman" w:hAnsi="Times New Roman" w:cs="Times New Roman"/>
          <w:b/>
          <w:bCs/>
          <w:sz w:val="24"/>
          <w:szCs w:val="24"/>
          <w:u w:val="single"/>
        </w:rPr>
      </w:pPr>
      <w:r>
        <w:rPr>
          <w:rFonts w:ascii="Times New Roman"/>
          <w:b/>
          <w:bCs/>
          <w:sz w:val="24"/>
          <w:szCs w:val="24"/>
          <w:u w:val="single"/>
        </w:rPr>
        <w:t>Question Presented</w:t>
      </w:r>
    </w:p>
    <w:p w:rsidR="00BF26C7" w:rsidRDefault="005C5E0B">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two or more parties are aligned in child welfare </w:t>
      </w:r>
      <w:r>
        <w:rPr>
          <w:rFonts w:ascii="Times New Roman" w:eastAsia="Times New Roman" w:hAnsi="Times New Roman" w:cs="Times New Roman"/>
          <w:sz w:val="24"/>
          <w:szCs w:val="24"/>
        </w:rPr>
        <w:t xml:space="preserve">proceedings, what </w:t>
      </w:r>
      <w:proofErr w:type="gramStart"/>
      <w:r>
        <w:rPr>
          <w:rFonts w:ascii="Times New Roman" w:eastAsia="Times New Roman" w:hAnsi="Times New Roman" w:cs="Times New Roman"/>
          <w:sz w:val="24"/>
          <w:szCs w:val="24"/>
        </w:rPr>
        <w:t>actions of one</w:t>
      </w:r>
      <w:r>
        <w:rPr>
          <w:rFonts w:ascii="Times New Roman" w:eastAsia="Times New Roman" w:hAnsi="Times New Roman" w:cs="Times New Roman"/>
          <w:sz w:val="24"/>
          <w:szCs w:val="24"/>
        </w:rPr>
        <w:t xml:space="preserve"> party preserves</w:t>
      </w:r>
      <w:proofErr w:type="gramEnd"/>
      <w:r>
        <w:rPr>
          <w:rFonts w:ascii="Times New Roman" w:eastAsia="Times New Roman" w:hAnsi="Times New Roman" w:cs="Times New Roman"/>
          <w:sz w:val="24"/>
          <w:szCs w:val="24"/>
        </w:rPr>
        <w:t xml:space="preserve"> an issue for another</w:t>
      </w:r>
      <w:r>
        <w:rPr>
          <w:rFonts w:ascii="Times New Roman" w:eastAsia="Times New Roman" w:hAnsi="Times New Roman" w:cs="Times New Roman"/>
          <w:sz w:val="24"/>
          <w:szCs w:val="24"/>
        </w:rPr>
        <w:t>?</w:t>
      </w:r>
    </w:p>
    <w:p w:rsidR="00BF26C7" w:rsidRDefault="005C5E0B">
      <w:pPr>
        <w:pStyle w:val="Body"/>
        <w:spacing w:line="480" w:lineRule="auto"/>
        <w:jc w:val="center"/>
        <w:rPr>
          <w:rFonts w:ascii="Times New Roman" w:eastAsia="Times New Roman" w:hAnsi="Times New Roman" w:cs="Times New Roman"/>
          <w:b/>
          <w:bCs/>
          <w:sz w:val="24"/>
          <w:szCs w:val="24"/>
          <w:u w:val="single"/>
        </w:rPr>
      </w:pPr>
      <w:r>
        <w:rPr>
          <w:rFonts w:ascii="Times New Roman"/>
          <w:b/>
          <w:bCs/>
          <w:sz w:val="24"/>
          <w:szCs w:val="24"/>
          <w:u w:val="single"/>
        </w:rPr>
        <w:t>Brief Answer</w:t>
      </w:r>
    </w:p>
    <w:p w:rsidR="00BF26C7" w:rsidRPr="00E823D0" w:rsidRDefault="005C5E0B" w:rsidP="00E823D0">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child welfare proceedings, one party</w:t>
      </w:r>
      <w:r>
        <w:rPr>
          <w:rFonts w:hAnsi="Times New Roman"/>
          <w:sz w:val="24"/>
          <w:szCs w:val="24"/>
        </w:rPr>
        <w:t>’</w:t>
      </w:r>
      <w:r>
        <w:rPr>
          <w:rFonts w:ascii="Times New Roman"/>
          <w:sz w:val="24"/>
          <w:szCs w:val="24"/>
        </w:rPr>
        <w:t>s actions will not always preserve an issue for the appeal of another party. An objection from an aligned party may be su</w:t>
      </w:r>
      <w:r>
        <w:rPr>
          <w:rFonts w:ascii="Times New Roman"/>
          <w:sz w:val="24"/>
          <w:szCs w:val="24"/>
        </w:rPr>
        <w:t>fficient to preserve an issue becaus</w:t>
      </w:r>
      <w:r w:rsidR="00E823D0">
        <w:rPr>
          <w:rFonts w:ascii="Times New Roman"/>
          <w:sz w:val="24"/>
          <w:szCs w:val="24"/>
        </w:rPr>
        <w:t xml:space="preserve">e it alerts the </w:t>
      </w:r>
      <w:r>
        <w:rPr>
          <w:rFonts w:ascii="Times New Roman"/>
          <w:sz w:val="24"/>
          <w:szCs w:val="24"/>
        </w:rPr>
        <w:t>trial judge</w:t>
      </w:r>
      <w:r w:rsidR="00E823D0">
        <w:rPr>
          <w:rFonts w:ascii="Times New Roman"/>
          <w:sz w:val="24"/>
          <w:szCs w:val="24"/>
        </w:rPr>
        <w:t xml:space="preserve"> to an issue an</w:t>
      </w:r>
      <w:r>
        <w:rPr>
          <w:rFonts w:ascii="Times New Roman"/>
          <w:sz w:val="24"/>
          <w:szCs w:val="24"/>
        </w:rPr>
        <w:t>d provides an opportunity for th</w:t>
      </w:r>
      <w:bookmarkStart w:id="0" w:name="_GoBack"/>
      <w:bookmarkEnd w:id="0"/>
      <w:r w:rsidR="00E823D0">
        <w:rPr>
          <w:rFonts w:ascii="Times New Roman"/>
          <w:sz w:val="24"/>
          <w:szCs w:val="24"/>
        </w:rPr>
        <w:t>e judge to take action</w:t>
      </w:r>
      <w:r>
        <w:rPr>
          <w:rFonts w:ascii="Times New Roman"/>
          <w:sz w:val="24"/>
          <w:szCs w:val="24"/>
        </w:rPr>
        <w:t>. An issue is also likely preserved when the judge</w:t>
      </w:r>
      <w:r>
        <w:rPr>
          <w:rFonts w:hAnsi="Times New Roman"/>
          <w:sz w:val="24"/>
          <w:szCs w:val="24"/>
        </w:rPr>
        <w:t>’</w:t>
      </w:r>
      <w:r>
        <w:rPr>
          <w:rFonts w:ascii="Times New Roman"/>
          <w:sz w:val="24"/>
          <w:szCs w:val="24"/>
        </w:rPr>
        <w:t>s ruling in response to one party is clearly intended for all parties, even if the appellant did not raise the issue at trial.</w:t>
      </w:r>
      <w:r>
        <w:rPr>
          <w:rFonts w:ascii="Times New Roman"/>
          <w:sz w:val="24"/>
          <w:szCs w:val="24"/>
        </w:rPr>
        <w:t xml:space="preserve"> However, a motion filed by one party may be insufficient to preserve an issue because the appellant was not a party to that specific motion.</w:t>
      </w:r>
      <w:r w:rsidR="00EA04B9">
        <w:rPr>
          <w:rFonts w:ascii="Times New Roman"/>
          <w:sz w:val="24"/>
          <w:szCs w:val="24"/>
        </w:rPr>
        <w:t xml:space="preserve"> </w:t>
      </w:r>
    </w:p>
    <w:p w:rsidR="00BF26C7" w:rsidRDefault="005C5E0B">
      <w:pPr>
        <w:pStyle w:val="Body"/>
        <w:spacing w:line="480" w:lineRule="auto"/>
        <w:jc w:val="center"/>
        <w:rPr>
          <w:rFonts w:ascii="Times New Roman" w:eastAsia="Times New Roman" w:hAnsi="Times New Roman" w:cs="Times New Roman"/>
          <w:b/>
          <w:bCs/>
          <w:sz w:val="24"/>
          <w:szCs w:val="24"/>
          <w:u w:val="single"/>
        </w:rPr>
      </w:pPr>
      <w:r>
        <w:rPr>
          <w:rFonts w:ascii="Times New Roman"/>
          <w:b/>
          <w:bCs/>
          <w:sz w:val="24"/>
          <w:szCs w:val="24"/>
          <w:u w:val="single"/>
        </w:rPr>
        <w:t>Discussion</w:t>
      </w:r>
    </w:p>
    <w:p w:rsidR="00BF26C7" w:rsidRDefault="005C5E0B">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 raise an issue on appeal, a par</w:t>
      </w:r>
      <w:r w:rsidR="00E823D0">
        <w:rPr>
          <w:rFonts w:ascii="Times New Roman" w:eastAsia="Times New Roman" w:hAnsi="Times New Roman" w:cs="Times New Roman"/>
          <w:sz w:val="24"/>
          <w:szCs w:val="24"/>
        </w:rPr>
        <w:t>ty must take action to preserve</w:t>
      </w:r>
      <w:r>
        <w:rPr>
          <w:rFonts w:ascii="Times New Roman" w:eastAsia="Times New Roman" w:hAnsi="Times New Roman" w:cs="Times New Roman"/>
          <w:sz w:val="24"/>
          <w:szCs w:val="24"/>
        </w:rPr>
        <w:t xml:space="preserve"> the issue during trial.</w:t>
      </w:r>
      <w:r>
        <w:rPr>
          <w:rFonts w:ascii="Times New Roman"/>
          <w:i/>
          <w:iCs/>
          <w:sz w:val="24"/>
          <w:szCs w:val="24"/>
        </w:rPr>
        <w:t xml:space="preserve"> </w:t>
      </w:r>
      <w:r>
        <w:rPr>
          <w:rFonts w:ascii="Times New Roman"/>
          <w:sz w:val="24"/>
          <w:szCs w:val="24"/>
          <w:u w:val="single"/>
        </w:rPr>
        <w:t>Adoption o</w:t>
      </w:r>
      <w:r>
        <w:rPr>
          <w:rFonts w:ascii="Times New Roman"/>
          <w:sz w:val="24"/>
          <w:szCs w:val="24"/>
          <w:u w:val="single"/>
        </w:rPr>
        <w:t>f Mary</w:t>
      </w:r>
      <w:r>
        <w:rPr>
          <w:rFonts w:ascii="Times New Roman"/>
          <w:sz w:val="24"/>
          <w:szCs w:val="24"/>
        </w:rPr>
        <w:t xml:space="preserve">, 414 Mass. 705, 712 (1993); </w:t>
      </w:r>
      <w:r>
        <w:rPr>
          <w:rFonts w:ascii="Times New Roman"/>
          <w:i/>
          <w:iCs/>
          <w:sz w:val="24"/>
          <w:szCs w:val="24"/>
        </w:rPr>
        <w:t xml:space="preserve">see also </w:t>
      </w:r>
      <w:r>
        <w:rPr>
          <w:rFonts w:ascii="Times New Roman"/>
          <w:sz w:val="24"/>
          <w:szCs w:val="24"/>
          <w:u w:val="single"/>
        </w:rPr>
        <w:t>Petition of the Dep</w:t>
      </w:r>
      <w:r>
        <w:rPr>
          <w:rFonts w:hAnsi="Times New Roman"/>
          <w:sz w:val="24"/>
          <w:szCs w:val="24"/>
          <w:u w:val="single"/>
        </w:rPr>
        <w:t>’</w:t>
      </w:r>
      <w:r>
        <w:rPr>
          <w:rFonts w:ascii="Times New Roman"/>
          <w:sz w:val="24"/>
          <w:szCs w:val="24"/>
          <w:u w:val="single"/>
        </w:rPr>
        <w:t xml:space="preserve">t of Social </w:t>
      </w:r>
      <w:proofErr w:type="spellStart"/>
      <w:r>
        <w:rPr>
          <w:rFonts w:ascii="Times New Roman"/>
          <w:sz w:val="24"/>
          <w:szCs w:val="24"/>
          <w:u w:val="single"/>
        </w:rPr>
        <w:t>Servs</w:t>
      </w:r>
      <w:proofErr w:type="spellEnd"/>
      <w:r>
        <w:rPr>
          <w:rFonts w:ascii="Times New Roman"/>
          <w:sz w:val="24"/>
          <w:szCs w:val="24"/>
          <w:u w:val="single"/>
        </w:rPr>
        <w:t xml:space="preserve">. </w:t>
      </w:r>
      <w:proofErr w:type="gramStart"/>
      <w:r>
        <w:rPr>
          <w:rFonts w:ascii="Times New Roman"/>
          <w:sz w:val="24"/>
          <w:szCs w:val="24"/>
          <w:u w:val="single"/>
        </w:rPr>
        <w:t>to</w:t>
      </w:r>
      <w:proofErr w:type="gramEnd"/>
      <w:r>
        <w:rPr>
          <w:rFonts w:ascii="Times New Roman"/>
          <w:sz w:val="24"/>
          <w:szCs w:val="24"/>
          <w:u w:val="single"/>
        </w:rPr>
        <w:t xml:space="preserve"> Dispense with Consent to Adoption</w:t>
      </w:r>
      <w:r>
        <w:rPr>
          <w:rFonts w:ascii="Times New Roman"/>
          <w:sz w:val="24"/>
          <w:szCs w:val="24"/>
        </w:rPr>
        <w:t>, 392 Mass. 696, 697 (1984). For example, issues are frequently preserved at trial when a party objects, giving a party the opportunity t</w:t>
      </w:r>
      <w:r>
        <w:rPr>
          <w:rFonts w:ascii="Times New Roman"/>
          <w:sz w:val="24"/>
          <w:szCs w:val="24"/>
        </w:rPr>
        <w:t xml:space="preserve">o challenge the </w:t>
      </w:r>
      <w:r>
        <w:rPr>
          <w:rFonts w:hAnsi="Times New Roman"/>
          <w:sz w:val="24"/>
          <w:szCs w:val="24"/>
        </w:rPr>
        <w:t>“</w:t>
      </w:r>
      <w:r>
        <w:rPr>
          <w:rFonts w:ascii="Times New Roman"/>
          <w:sz w:val="24"/>
          <w:szCs w:val="24"/>
        </w:rPr>
        <w:t>full probative force</w:t>
      </w:r>
      <w:r>
        <w:rPr>
          <w:rFonts w:hAnsi="Times New Roman"/>
          <w:sz w:val="24"/>
          <w:szCs w:val="24"/>
        </w:rPr>
        <w:t>”</w:t>
      </w:r>
      <w:r>
        <w:rPr>
          <w:rFonts w:hAnsi="Times New Roman"/>
          <w:sz w:val="24"/>
          <w:szCs w:val="24"/>
        </w:rPr>
        <w:t xml:space="preserve"> </w:t>
      </w:r>
      <w:r>
        <w:rPr>
          <w:rFonts w:ascii="Times New Roman"/>
          <w:sz w:val="24"/>
          <w:szCs w:val="24"/>
        </w:rPr>
        <w:t xml:space="preserve">of the testimony. </w:t>
      </w:r>
      <w:r>
        <w:rPr>
          <w:rFonts w:ascii="Times New Roman"/>
          <w:i/>
          <w:iCs/>
          <w:sz w:val="24"/>
          <w:szCs w:val="24"/>
        </w:rPr>
        <w:t xml:space="preserve">See </w:t>
      </w:r>
      <w:r>
        <w:rPr>
          <w:rFonts w:ascii="Times New Roman"/>
          <w:sz w:val="24"/>
          <w:szCs w:val="24"/>
          <w:u w:val="single"/>
        </w:rPr>
        <w:t>Adoption of Kimberly</w:t>
      </w:r>
      <w:r>
        <w:rPr>
          <w:rFonts w:ascii="Times New Roman"/>
          <w:sz w:val="24"/>
          <w:szCs w:val="24"/>
        </w:rPr>
        <w:t xml:space="preserve">, 414 Mass. 526, 535 (1993) (quoting </w:t>
      </w:r>
      <w:proofErr w:type="spellStart"/>
      <w:r>
        <w:rPr>
          <w:rFonts w:ascii="Times New Roman"/>
          <w:sz w:val="24"/>
          <w:szCs w:val="24"/>
          <w:u w:val="single"/>
        </w:rPr>
        <w:t>Freyermuth</w:t>
      </w:r>
      <w:proofErr w:type="spellEnd"/>
      <w:r>
        <w:rPr>
          <w:rFonts w:ascii="Times New Roman"/>
          <w:sz w:val="24"/>
          <w:szCs w:val="24"/>
          <w:u w:val="single"/>
        </w:rPr>
        <w:t xml:space="preserve"> v. </w:t>
      </w:r>
      <w:proofErr w:type="spellStart"/>
      <w:r>
        <w:rPr>
          <w:rFonts w:ascii="Times New Roman"/>
          <w:sz w:val="24"/>
          <w:szCs w:val="24"/>
          <w:u w:val="single"/>
        </w:rPr>
        <w:t>Lutfy</w:t>
      </w:r>
      <w:proofErr w:type="spellEnd"/>
      <w:r>
        <w:rPr>
          <w:rFonts w:ascii="Times New Roman"/>
          <w:sz w:val="24"/>
          <w:szCs w:val="24"/>
        </w:rPr>
        <w:t>, 376 Mass. 612, 617 (1978)). One exception to this rule exists when the case presents exceptional circumstances prompt</w:t>
      </w:r>
      <w:r>
        <w:rPr>
          <w:rFonts w:ascii="Times New Roman"/>
          <w:sz w:val="24"/>
          <w:szCs w:val="24"/>
        </w:rPr>
        <w:t xml:space="preserve">ing judicial review, even if the issue was not properly preserved. </w:t>
      </w:r>
      <w:r>
        <w:rPr>
          <w:rFonts w:ascii="Times New Roman"/>
          <w:i/>
          <w:iCs/>
          <w:sz w:val="24"/>
          <w:szCs w:val="24"/>
        </w:rPr>
        <w:t xml:space="preserve">See </w:t>
      </w:r>
      <w:r>
        <w:rPr>
          <w:rFonts w:ascii="Times New Roman"/>
          <w:sz w:val="24"/>
          <w:szCs w:val="24"/>
          <w:u w:val="single"/>
        </w:rPr>
        <w:t>Adoption of Mary</w:t>
      </w:r>
      <w:r>
        <w:rPr>
          <w:rFonts w:ascii="Times New Roman"/>
          <w:sz w:val="24"/>
          <w:szCs w:val="24"/>
        </w:rPr>
        <w:t xml:space="preserve">, 414 Mass. 705, 712 (1993); </w:t>
      </w:r>
      <w:r>
        <w:rPr>
          <w:rFonts w:ascii="Times New Roman"/>
          <w:i/>
          <w:iCs/>
          <w:sz w:val="24"/>
          <w:szCs w:val="24"/>
        </w:rPr>
        <w:t>see, e.g.</w:t>
      </w:r>
      <w:r>
        <w:rPr>
          <w:rFonts w:ascii="Times New Roman"/>
          <w:sz w:val="24"/>
          <w:szCs w:val="24"/>
        </w:rPr>
        <w:t xml:space="preserve">, </w:t>
      </w:r>
      <w:r>
        <w:rPr>
          <w:rFonts w:ascii="Times New Roman"/>
          <w:sz w:val="24"/>
          <w:szCs w:val="24"/>
          <w:u w:val="single"/>
        </w:rPr>
        <w:lastRenderedPageBreak/>
        <w:t>Adoption of Willow</w:t>
      </w:r>
      <w:r>
        <w:rPr>
          <w:rFonts w:ascii="Times New Roman"/>
          <w:sz w:val="24"/>
          <w:szCs w:val="24"/>
        </w:rPr>
        <w:t>, 433 Mass. 636, 642 n. 7 (2001) (addressing mother</w:t>
      </w:r>
      <w:r>
        <w:rPr>
          <w:rFonts w:hAnsi="Times New Roman"/>
          <w:sz w:val="24"/>
          <w:szCs w:val="24"/>
        </w:rPr>
        <w:t>’</w:t>
      </w:r>
      <w:r>
        <w:rPr>
          <w:rFonts w:ascii="Times New Roman"/>
          <w:sz w:val="24"/>
          <w:szCs w:val="24"/>
        </w:rPr>
        <w:t xml:space="preserve">s statutory claims in part because the </w:t>
      </w:r>
      <w:r>
        <w:rPr>
          <w:rFonts w:hAnsi="Times New Roman"/>
          <w:sz w:val="24"/>
          <w:szCs w:val="24"/>
        </w:rPr>
        <w:t>“</w:t>
      </w:r>
      <w:r>
        <w:rPr>
          <w:rFonts w:ascii="Times New Roman"/>
          <w:sz w:val="24"/>
          <w:szCs w:val="24"/>
        </w:rPr>
        <w:t xml:space="preserve">split termination </w:t>
      </w:r>
      <w:r>
        <w:rPr>
          <w:rFonts w:ascii="Times New Roman"/>
          <w:sz w:val="24"/>
          <w:szCs w:val="24"/>
        </w:rPr>
        <w:t>order</w:t>
      </w:r>
      <w:r>
        <w:rPr>
          <w:rFonts w:hAnsi="Times New Roman"/>
          <w:sz w:val="24"/>
          <w:szCs w:val="24"/>
        </w:rPr>
        <w:t>”</w:t>
      </w:r>
      <w:r>
        <w:rPr>
          <w:rFonts w:hAnsi="Times New Roman"/>
          <w:sz w:val="24"/>
          <w:szCs w:val="24"/>
        </w:rPr>
        <w:t xml:space="preserve"> </w:t>
      </w:r>
      <w:r>
        <w:rPr>
          <w:rFonts w:ascii="Times New Roman"/>
          <w:sz w:val="24"/>
          <w:szCs w:val="24"/>
        </w:rPr>
        <w:t xml:space="preserve">was a new issue of law); </w:t>
      </w:r>
      <w:r>
        <w:rPr>
          <w:rFonts w:ascii="Times New Roman"/>
          <w:i/>
          <w:iCs/>
          <w:sz w:val="24"/>
          <w:szCs w:val="24"/>
        </w:rPr>
        <w:t>see, e.g.</w:t>
      </w:r>
      <w:r>
        <w:rPr>
          <w:rFonts w:ascii="Times New Roman"/>
          <w:sz w:val="24"/>
          <w:szCs w:val="24"/>
        </w:rPr>
        <w:t xml:space="preserve">, </w:t>
      </w:r>
      <w:r>
        <w:rPr>
          <w:rFonts w:ascii="Times New Roman"/>
          <w:sz w:val="24"/>
          <w:szCs w:val="24"/>
          <w:u w:val="single"/>
        </w:rPr>
        <w:t>Adoption of Flora</w:t>
      </w:r>
      <w:r>
        <w:rPr>
          <w:rFonts w:ascii="Times New Roman"/>
          <w:sz w:val="24"/>
          <w:szCs w:val="24"/>
        </w:rPr>
        <w:t>, 60 Mass. App. Ct. 334, 340 n. 10 (2004) (finding special circumstances to review when counsel failed to follow CPCS guidelines and represent the child</w:t>
      </w:r>
      <w:r>
        <w:rPr>
          <w:rFonts w:hAnsi="Times New Roman"/>
          <w:sz w:val="24"/>
          <w:szCs w:val="24"/>
        </w:rPr>
        <w:t>’</w:t>
      </w:r>
      <w:r>
        <w:rPr>
          <w:rFonts w:ascii="Times New Roman"/>
          <w:sz w:val="24"/>
          <w:szCs w:val="24"/>
        </w:rPr>
        <w:t>s wishes regarding visitation). Criminal ca</w:t>
      </w:r>
      <w:r>
        <w:rPr>
          <w:rFonts w:ascii="Times New Roman"/>
          <w:sz w:val="24"/>
          <w:szCs w:val="24"/>
        </w:rPr>
        <w:t xml:space="preserve">ses have further defined the requirements to preserve an issue for appeal, requiring that the objections be noted on the record or filed as a written objection and that they must be timely. </w:t>
      </w:r>
      <w:r>
        <w:rPr>
          <w:rFonts w:ascii="Times New Roman"/>
          <w:i/>
          <w:iCs/>
          <w:sz w:val="24"/>
          <w:szCs w:val="24"/>
        </w:rPr>
        <w:t>See, e.g.</w:t>
      </w:r>
      <w:r>
        <w:rPr>
          <w:rFonts w:ascii="Times New Roman"/>
          <w:sz w:val="24"/>
          <w:szCs w:val="24"/>
        </w:rPr>
        <w:t>,</w:t>
      </w:r>
      <w:r>
        <w:rPr>
          <w:rFonts w:ascii="Times New Roman"/>
          <w:i/>
          <w:iCs/>
          <w:sz w:val="24"/>
          <w:szCs w:val="24"/>
        </w:rPr>
        <w:t xml:space="preserve"> </w:t>
      </w:r>
      <w:r>
        <w:rPr>
          <w:rFonts w:ascii="Times New Roman"/>
          <w:sz w:val="24"/>
          <w:szCs w:val="24"/>
          <w:u w:val="single"/>
        </w:rPr>
        <w:t xml:space="preserve">Com. v. </w:t>
      </w:r>
      <w:proofErr w:type="spellStart"/>
      <w:r>
        <w:rPr>
          <w:rFonts w:ascii="Times New Roman"/>
          <w:sz w:val="24"/>
          <w:szCs w:val="24"/>
          <w:u w:val="single"/>
        </w:rPr>
        <w:t>Fleenor</w:t>
      </w:r>
      <w:proofErr w:type="spellEnd"/>
      <w:r>
        <w:rPr>
          <w:rFonts w:ascii="Times New Roman"/>
          <w:sz w:val="24"/>
          <w:szCs w:val="24"/>
        </w:rPr>
        <w:t xml:space="preserve">, 39 Mass. App. Ct. 25, </w:t>
      </w:r>
      <w:proofErr w:type="gramStart"/>
      <w:r>
        <w:rPr>
          <w:rFonts w:ascii="Times New Roman"/>
          <w:sz w:val="24"/>
          <w:szCs w:val="24"/>
        </w:rPr>
        <w:t>28 n.4 (1995)</w:t>
      </w:r>
      <w:proofErr w:type="gramEnd"/>
      <w:r>
        <w:rPr>
          <w:rFonts w:ascii="Times New Roman"/>
          <w:sz w:val="24"/>
          <w:szCs w:val="24"/>
        </w:rPr>
        <w:t xml:space="preserve">. </w:t>
      </w:r>
      <w:r>
        <w:rPr>
          <w:rFonts w:ascii="Times New Roman"/>
          <w:sz w:val="24"/>
          <w:szCs w:val="24"/>
        </w:rPr>
        <w:t>A</w:t>
      </w:r>
      <w:r>
        <w:rPr>
          <w:rFonts w:ascii="Times New Roman"/>
          <w:sz w:val="24"/>
          <w:szCs w:val="24"/>
        </w:rPr>
        <w:t xml:space="preserve">ppellants must abide by the general rule that requires an issue to be preserved at trial to be raised on appeal. </w:t>
      </w:r>
      <w:proofErr w:type="gramStart"/>
      <w:r>
        <w:rPr>
          <w:rFonts w:ascii="Times New Roman"/>
          <w:sz w:val="24"/>
          <w:szCs w:val="24"/>
          <w:u w:val="single"/>
        </w:rPr>
        <w:t>Adoption of Mary</w:t>
      </w:r>
      <w:r>
        <w:rPr>
          <w:rFonts w:ascii="Times New Roman"/>
          <w:sz w:val="24"/>
          <w:szCs w:val="24"/>
        </w:rPr>
        <w:t xml:space="preserve"> at 712.</w:t>
      </w:r>
      <w:proofErr w:type="gramEnd"/>
    </w:p>
    <w:p w:rsidR="00BF26C7" w:rsidRDefault="005C5E0B">
      <w:pPr>
        <w:pStyle w:val="Body"/>
        <w:spacing w:line="480" w:lineRule="auto"/>
        <w:jc w:val="center"/>
        <w:rPr>
          <w:rFonts w:ascii="Times New Roman" w:eastAsia="Times New Roman" w:hAnsi="Times New Roman" w:cs="Times New Roman"/>
          <w:b/>
          <w:bCs/>
          <w:sz w:val="24"/>
          <w:szCs w:val="24"/>
        </w:rPr>
      </w:pPr>
      <w:r>
        <w:rPr>
          <w:rFonts w:ascii="Times New Roman"/>
          <w:b/>
          <w:bCs/>
          <w:sz w:val="24"/>
          <w:szCs w:val="24"/>
        </w:rPr>
        <w:t>A. An objection from an aligned party may be sufficient to preserve an issue for appeal.</w:t>
      </w:r>
    </w:p>
    <w:p w:rsidR="00EA04B9" w:rsidRPr="00EA04B9" w:rsidRDefault="00EA04B9" w:rsidP="00EA04B9">
      <w:pPr>
        <w:suppressAutoHyphens/>
        <w:spacing w:line="480" w:lineRule="auto"/>
        <w:ind w:firstLine="720"/>
        <w:rPr>
          <w:rFonts w:eastAsia="Times New Roman"/>
          <w:color w:val="000000"/>
          <w:u w:color="000000"/>
        </w:rPr>
      </w:pPr>
      <w:r w:rsidRPr="00EA04B9">
        <w:rPr>
          <w:rFonts w:eastAsia="Calibri" w:hAnsi="Calibri" w:cs="Calibri"/>
          <w:color w:val="000000"/>
          <w:u w:color="000000"/>
        </w:rPr>
        <w:t xml:space="preserve">In order to preserve an issue for appeal, an objection must be made </w:t>
      </w:r>
      <w:r w:rsidRPr="00EA04B9">
        <w:rPr>
          <w:rFonts w:ascii="Calibri" w:eastAsia="Calibri" w:cs="Calibri"/>
          <w:color w:val="000000"/>
          <w:u w:color="000000"/>
        </w:rPr>
        <w:t>“</w:t>
      </w:r>
      <w:r w:rsidRPr="00EA04B9">
        <w:rPr>
          <w:rFonts w:eastAsia="Calibri" w:hAnsi="Calibri" w:cs="Calibri"/>
          <w:color w:val="000000"/>
          <w:u w:color="000000"/>
        </w:rPr>
        <w:t>in a precise and timely fashion, as soon as the claimed error is apparent.</w:t>
      </w:r>
      <w:r w:rsidRPr="00EA04B9">
        <w:rPr>
          <w:rFonts w:ascii="Calibri" w:eastAsia="Calibri" w:cs="Calibri"/>
          <w:color w:val="000000"/>
          <w:u w:color="000000"/>
        </w:rPr>
        <w:t>”</w:t>
      </w:r>
      <w:r w:rsidRPr="00EA04B9">
        <w:rPr>
          <w:rFonts w:ascii="Calibri" w:eastAsia="Calibri" w:cs="Calibri"/>
          <w:color w:val="000000"/>
          <w:u w:color="000000"/>
        </w:rPr>
        <w:t xml:space="preserve">  </w:t>
      </w:r>
      <w:proofErr w:type="gramStart"/>
      <w:r w:rsidRPr="00EA04B9">
        <w:rPr>
          <w:rFonts w:eastAsia="Calibri" w:hAnsi="Calibri" w:cs="Calibri"/>
          <w:color w:val="000000"/>
          <w:u w:val="single" w:color="000000"/>
        </w:rPr>
        <w:t>Com. v. Perryman</w:t>
      </w:r>
      <w:r w:rsidRPr="00EA04B9">
        <w:rPr>
          <w:rFonts w:eastAsia="Calibri" w:hAnsi="Calibri" w:cs="Calibri"/>
          <w:color w:val="000000"/>
          <w:u w:color="000000"/>
        </w:rPr>
        <w:t>, 55 Mass. App. Ct. 187, 192 (2002).</w:t>
      </w:r>
      <w:proofErr w:type="gramEnd"/>
      <w:r w:rsidRPr="00EA04B9">
        <w:rPr>
          <w:rFonts w:eastAsia="Calibri" w:hAnsi="Calibri" w:cs="Calibri"/>
          <w:color w:val="000000"/>
          <w:u w:color="000000"/>
        </w:rPr>
        <w:t xml:space="preserve">  In child welfare cases, objections are required to preserve an issue for appeal unless the case presents exceptional circumstances.  </w:t>
      </w:r>
      <w:proofErr w:type="gramStart"/>
      <w:r w:rsidRPr="00EA04B9">
        <w:rPr>
          <w:rFonts w:eastAsia="Calibri" w:hAnsi="Calibri" w:cs="Calibri"/>
          <w:color w:val="000000"/>
          <w:u w:val="single" w:color="000000"/>
        </w:rPr>
        <w:t>Adoption of Mary</w:t>
      </w:r>
      <w:r w:rsidRPr="00EA04B9">
        <w:rPr>
          <w:rFonts w:eastAsia="Calibri" w:hAnsi="Calibri" w:cs="Calibri"/>
          <w:color w:val="000000"/>
          <w:u w:color="000000"/>
        </w:rPr>
        <w:t>, 414 Mass. 705, 711 (1993).</w:t>
      </w:r>
      <w:proofErr w:type="gramEnd"/>
      <w:r w:rsidRPr="00EA04B9">
        <w:rPr>
          <w:rFonts w:eastAsia="Calibri" w:hAnsi="Calibri" w:cs="Calibri"/>
          <w:color w:val="000000"/>
          <w:u w:color="000000"/>
        </w:rPr>
        <w:t xml:space="preserve">  Massachusetts courts have not yet extensively addressed this issue in the child welfare context, but previous cases suggest that one party may depend on another party</w:t>
      </w:r>
      <w:r w:rsidRPr="00EA04B9">
        <w:rPr>
          <w:rFonts w:ascii="Calibri" w:eastAsia="Calibri" w:cs="Calibri"/>
          <w:color w:val="000000"/>
          <w:u w:color="000000"/>
        </w:rPr>
        <w:t>’</w:t>
      </w:r>
      <w:r w:rsidRPr="00EA04B9">
        <w:rPr>
          <w:rFonts w:eastAsia="Calibri" w:hAnsi="Calibri" w:cs="Calibri"/>
          <w:color w:val="000000"/>
          <w:u w:color="000000"/>
        </w:rPr>
        <w:t>s objection to preserve an issue for appeal.</w:t>
      </w:r>
    </w:p>
    <w:p w:rsidR="00EA04B9" w:rsidRPr="00EA04B9" w:rsidRDefault="00EA04B9" w:rsidP="00EA04B9">
      <w:pPr>
        <w:suppressAutoHyphens/>
        <w:spacing w:line="480" w:lineRule="auto"/>
        <w:rPr>
          <w:rFonts w:eastAsia="Times New Roman"/>
          <w:color w:val="000000"/>
          <w:u w:color="000000"/>
        </w:rPr>
      </w:pPr>
      <w:r w:rsidRPr="00EA04B9">
        <w:rPr>
          <w:rFonts w:eastAsia="Times New Roman"/>
          <w:color w:val="000000"/>
          <w:u w:color="000000"/>
        </w:rPr>
        <w:tab/>
      </w:r>
      <w:r w:rsidRPr="00EA04B9">
        <w:rPr>
          <w:rFonts w:eastAsia="Calibri" w:hAnsi="Calibri" w:cs="Calibri"/>
          <w:color w:val="000000"/>
          <w:u w:color="000000"/>
        </w:rPr>
        <w:t xml:space="preserve">Objections are tools for parties to prevent irrelevant or prejudicial evidence from entering trial.  </w:t>
      </w:r>
      <w:r w:rsidRPr="00EA04B9">
        <w:rPr>
          <w:rFonts w:eastAsia="Calibri" w:hAnsi="Calibri" w:cs="Calibri"/>
          <w:color w:val="000000"/>
          <w:u w:val="single" w:color="000000"/>
        </w:rPr>
        <w:t xml:space="preserve">Com. v. </w:t>
      </w:r>
      <w:proofErr w:type="spellStart"/>
      <w:r w:rsidRPr="00EA04B9">
        <w:rPr>
          <w:rFonts w:eastAsia="Calibri" w:hAnsi="Calibri" w:cs="Calibri"/>
          <w:color w:val="000000"/>
          <w:u w:val="single" w:color="000000"/>
        </w:rPr>
        <w:t>Seminara</w:t>
      </w:r>
      <w:proofErr w:type="spellEnd"/>
      <w:r w:rsidRPr="00EA04B9">
        <w:rPr>
          <w:rFonts w:eastAsia="Calibri" w:hAnsi="Calibri" w:cs="Calibri"/>
          <w:color w:val="000000"/>
          <w:u w:color="000000"/>
        </w:rPr>
        <w:t xml:space="preserve">, 20 Mass. App. Ct. 789, </w:t>
      </w:r>
      <w:proofErr w:type="gramStart"/>
      <w:r w:rsidRPr="00EA04B9">
        <w:rPr>
          <w:rFonts w:eastAsia="Calibri" w:hAnsi="Calibri" w:cs="Calibri"/>
          <w:color w:val="000000"/>
          <w:u w:color="000000"/>
        </w:rPr>
        <w:t>795 n.4 (1985)</w:t>
      </w:r>
      <w:proofErr w:type="gramEnd"/>
      <w:r w:rsidRPr="00EA04B9">
        <w:rPr>
          <w:rFonts w:eastAsia="Calibri" w:hAnsi="Calibri" w:cs="Calibri"/>
          <w:color w:val="000000"/>
          <w:u w:color="000000"/>
        </w:rPr>
        <w:t xml:space="preserve">.  They are required </w:t>
      </w:r>
      <w:r w:rsidRPr="00EA04B9">
        <w:rPr>
          <w:rFonts w:ascii="Calibri" w:eastAsia="Calibri" w:cs="Calibri"/>
          <w:color w:val="000000"/>
          <w:u w:color="000000"/>
        </w:rPr>
        <w:t>“</w:t>
      </w:r>
      <w:r w:rsidRPr="00EA04B9">
        <w:rPr>
          <w:rFonts w:eastAsia="Calibri" w:hAnsi="Calibri" w:cs="Calibri"/>
          <w:color w:val="000000"/>
          <w:u w:color="000000"/>
        </w:rPr>
        <w:t>to afford the trial judge an opportunity to act promptly to remove from the jury</w:t>
      </w:r>
      <w:r w:rsidRPr="00EA04B9">
        <w:rPr>
          <w:rFonts w:ascii="Calibri" w:eastAsia="Calibri" w:cs="Calibri"/>
          <w:color w:val="000000"/>
          <w:u w:color="000000"/>
        </w:rPr>
        <w:t>’</w:t>
      </w:r>
      <w:r w:rsidRPr="00EA04B9">
        <w:rPr>
          <w:rFonts w:eastAsia="Calibri" w:hAnsi="Calibri" w:cs="Calibri"/>
          <w:color w:val="000000"/>
          <w:u w:color="000000"/>
        </w:rPr>
        <w:t>s consideration evidence which has no place in the trial.</w:t>
      </w:r>
      <w:r w:rsidRPr="00EA04B9">
        <w:rPr>
          <w:rFonts w:ascii="Calibri" w:eastAsia="Calibri" w:cs="Calibri"/>
          <w:color w:val="000000"/>
          <w:u w:color="000000"/>
        </w:rPr>
        <w:t>”</w:t>
      </w:r>
      <w:r w:rsidRPr="00EA04B9">
        <w:rPr>
          <w:rFonts w:ascii="Calibri" w:eastAsia="Calibri" w:cs="Calibri"/>
          <w:color w:val="000000"/>
          <w:u w:color="000000"/>
        </w:rPr>
        <w:t xml:space="preserve">  </w:t>
      </w:r>
      <w:r w:rsidRPr="00EA04B9">
        <w:rPr>
          <w:rFonts w:eastAsia="Calibri" w:hAnsi="Calibri" w:cs="Calibri"/>
          <w:color w:val="000000"/>
          <w:u w:val="single" w:color="000000"/>
        </w:rPr>
        <w:t>Abraham v. Woburn</w:t>
      </w:r>
      <w:r w:rsidRPr="00EA04B9">
        <w:rPr>
          <w:rFonts w:eastAsia="Calibri" w:hAnsi="Calibri" w:cs="Calibri"/>
          <w:color w:val="000000"/>
          <w:u w:color="000000"/>
        </w:rPr>
        <w:t xml:space="preserve">, 383 Mass. 724, </w:t>
      </w:r>
      <w:proofErr w:type="gramStart"/>
      <w:r w:rsidRPr="00EA04B9">
        <w:rPr>
          <w:rFonts w:eastAsia="Calibri" w:hAnsi="Calibri" w:cs="Calibri"/>
          <w:color w:val="000000"/>
          <w:u w:color="000000"/>
        </w:rPr>
        <w:t>726 n.1 (1981)</w:t>
      </w:r>
      <w:proofErr w:type="gramEnd"/>
      <w:r w:rsidRPr="00EA04B9">
        <w:rPr>
          <w:rFonts w:eastAsia="Calibri" w:hAnsi="Calibri" w:cs="Calibri"/>
          <w:color w:val="000000"/>
          <w:u w:color="000000"/>
        </w:rPr>
        <w:t>. Massachusetts criminal cases demonstrate that a co-defendant</w:t>
      </w:r>
      <w:r w:rsidRPr="00EA04B9">
        <w:rPr>
          <w:rFonts w:ascii="Calibri" w:eastAsia="Calibri" w:cs="Calibri"/>
          <w:color w:val="000000"/>
          <w:u w:color="000000"/>
        </w:rPr>
        <w:t>’</w:t>
      </w:r>
      <w:r w:rsidRPr="00EA04B9">
        <w:rPr>
          <w:rFonts w:eastAsia="Calibri" w:hAnsi="Calibri" w:cs="Calibri"/>
          <w:color w:val="000000"/>
          <w:u w:color="000000"/>
        </w:rPr>
        <w:t xml:space="preserve">s objection preserves an issue for the appeal of another defendant.  </w:t>
      </w:r>
      <w:r w:rsidRPr="00EA04B9">
        <w:rPr>
          <w:rFonts w:eastAsia="Calibri" w:hAnsi="Calibri" w:cs="Calibri"/>
          <w:i/>
          <w:iCs/>
          <w:color w:val="000000"/>
          <w:u w:color="000000"/>
        </w:rPr>
        <w:t xml:space="preserve">See </w:t>
      </w:r>
      <w:r w:rsidRPr="00EA04B9">
        <w:rPr>
          <w:rFonts w:eastAsia="Calibri" w:hAnsi="Calibri" w:cs="Calibri"/>
          <w:color w:val="000000"/>
          <w:u w:val="single" w:color="000000"/>
        </w:rPr>
        <w:t>Com. v. Villanueva</w:t>
      </w:r>
      <w:r w:rsidRPr="00EA04B9">
        <w:rPr>
          <w:rFonts w:eastAsia="Calibri" w:hAnsi="Calibri" w:cs="Calibri"/>
          <w:color w:val="000000"/>
          <w:u w:color="000000"/>
        </w:rPr>
        <w:t xml:space="preserve">, 47 Mass. App. Ct. 905, 906 (1999); </w:t>
      </w:r>
      <w:r w:rsidRPr="00EA04B9">
        <w:rPr>
          <w:rFonts w:eastAsia="Calibri" w:hAnsi="Calibri" w:cs="Calibri"/>
          <w:i/>
          <w:iCs/>
          <w:color w:val="000000"/>
          <w:u w:color="000000"/>
        </w:rPr>
        <w:lastRenderedPageBreak/>
        <w:t xml:space="preserve">see also </w:t>
      </w:r>
      <w:r w:rsidRPr="00EA04B9">
        <w:rPr>
          <w:rFonts w:eastAsia="Calibri" w:hAnsi="Calibri" w:cs="Calibri"/>
          <w:color w:val="000000"/>
          <w:u w:val="single" w:color="000000"/>
        </w:rPr>
        <w:t xml:space="preserve">Com. v. </w:t>
      </w:r>
      <w:proofErr w:type="spellStart"/>
      <w:r w:rsidRPr="00EA04B9">
        <w:rPr>
          <w:rFonts w:eastAsia="Calibri" w:hAnsi="Calibri" w:cs="Calibri"/>
          <w:color w:val="000000"/>
          <w:u w:val="single" w:color="000000"/>
        </w:rPr>
        <w:t>Seminara</w:t>
      </w:r>
      <w:proofErr w:type="spellEnd"/>
      <w:r w:rsidRPr="00EA04B9">
        <w:rPr>
          <w:rFonts w:eastAsia="Calibri" w:hAnsi="Calibri" w:cs="Calibri"/>
          <w:color w:val="000000"/>
          <w:u w:color="000000"/>
          <w:lang w:val="de-DE"/>
        </w:rPr>
        <w:t xml:space="preserve">, 20 Mass. App. Ct. 789, 798 (1985) (noting that the co-defendants were so </w:t>
      </w:r>
      <w:r w:rsidRPr="00EA04B9">
        <w:rPr>
          <w:rFonts w:ascii="Calibri" w:eastAsia="Calibri" w:cs="Calibri"/>
          <w:color w:val="000000"/>
          <w:u w:color="000000"/>
          <w:lang w:val="de-DE"/>
        </w:rPr>
        <w:t>“</w:t>
      </w:r>
      <w:r w:rsidRPr="00EA04B9">
        <w:rPr>
          <w:rFonts w:eastAsia="Calibri" w:hAnsi="Calibri" w:cs="Calibri"/>
          <w:color w:val="000000"/>
          <w:u w:color="000000"/>
          <w:lang w:val="de-DE"/>
        </w:rPr>
        <w:t>inextricably linked [</w:t>
      </w:r>
      <w:r w:rsidRPr="00EA04B9">
        <w:rPr>
          <w:rFonts w:ascii="Calibri" w:eastAsia="Calibri" w:cs="Calibri"/>
          <w:color w:val="000000"/>
          <w:u w:color="000000"/>
          <w:lang w:val="de-DE"/>
        </w:rPr>
        <w:t>…</w:t>
      </w:r>
      <w:r w:rsidRPr="00EA04B9">
        <w:rPr>
          <w:rFonts w:eastAsia="Calibri" w:hAnsi="Calibri" w:cs="Calibri"/>
          <w:color w:val="000000"/>
          <w:u w:color="000000"/>
          <w:lang w:val="de-DE"/>
        </w:rPr>
        <w:t>] on the Commonwealth</w:t>
      </w:r>
      <w:r w:rsidRPr="00EA04B9">
        <w:rPr>
          <w:rFonts w:ascii="Calibri" w:eastAsia="Calibri" w:cs="Calibri"/>
          <w:color w:val="000000"/>
          <w:u w:color="000000"/>
          <w:lang w:val="de-DE"/>
        </w:rPr>
        <w:t>’</w:t>
      </w:r>
      <w:r w:rsidRPr="00EA04B9">
        <w:rPr>
          <w:rFonts w:eastAsia="Calibri" w:hAnsi="Calibri" w:cs="Calibri"/>
          <w:color w:val="000000"/>
          <w:u w:color="000000"/>
          <w:lang w:val="de-DE"/>
        </w:rPr>
        <w:t>s theory of the case</w:t>
      </w:r>
      <w:r w:rsidRPr="00EA04B9">
        <w:rPr>
          <w:rFonts w:ascii="Calibri" w:eastAsia="Calibri" w:cs="Calibri"/>
          <w:color w:val="000000"/>
          <w:u w:color="000000"/>
          <w:lang w:val="de-DE"/>
        </w:rPr>
        <w:t>”</w:t>
      </w:r>
      <w:r w:rsidRPr="00EA04B9">
        <w:rPr>
          <w:rFonts w:ascii="Calibri" w:eastAsia="Calibri" w:cs="Calibri"/>
          <w:color w:val="000000"/>
          <w:u w:color="000000"/>
          <w:lang w:val="de-DE"/>
        </w:rPr>
        <w:t xml:space="preserve"> </w:t>
      </w:r>
      <w:r w:rsidRPr="00EA04B9">
        <w:rPr>
          <w:rFonts w:eastAsia="Calibri" w:hAnsi="Calibri" w:cs="Calibri"/>
          <w:color w:val="000000"/>
          <w:u w:color="000000"/>
          <w:lang w:val="de-DE"/>
        </w:rPr>
        <w:t xml:space="preserve">that evidence would have a spill-over effect and it was therefore sufficient that one defendant made a timely objection); </w:t>
      </w:r>
      <w:r w:rsidRPr="00EA04B9">
        <w:rPr>
          <w:rFonts w:eastAsia="Calibri" w:hAnsi="Calibri" w:cs="Calibri"/>
          <w:i/>
          <w:iCs/>
          <w:color w:val="000000"/>
          <w:u w:color="000000"/>
        </w:rPr>
        <w:t xml:space="preserve">see also </w:t>
      </w:r>
      <w:r w:rsidRPr="00EA04B9">
        <w:rPr>
          <w:rFonts w:eastAsia="Calibri" w:hAnsi="Calibri" w:cs="Calibri"/>
          <w:color w:val="000000"/>
          <w:u w:val="single" w:color="000000"/>
        </w:rPr>
        <w:t>Commonwealth v. Lieu</w:t>
      </w:r>
      <w:r w:rsidRPr="00EA04B9">
        <w:rPr>
          <w:rFonts w:eastAsia="Calibri" w:hAnsi="Calibri" w:cs="Calibri"/>
          <w:color w:val="000000"/>
          <w:u w:color="000000"/>
        </w:rPr>
        <w:t>, 50 Mass. App. Ct. 162, 165 n.3 (2000) (preserving the issue for review when co-defendant</w:t>
      </w:r>
      <w:r w:rsidRPr="00EA04B9">
        <w:rPr>
          <w:rFonts w:ascii="Calibri" w:eastAsia="Calibri" w:cs="Calibri"/>
          <w:color w:val="000000"/>
          <w:u w:color="000000"/>
        </w:rPr>
        <w:t>’</w:t>
      </w:r>
      <w:r w:rsidRPr="00EA04B9">
        <w:rPr>
          <w:rFonts w:eastAsia="Calibri" w:hAnsi="Calibri" w:cs="Calibri"/>
          <w:color w:val="000000"/>
          <w:u w:color="000000"/>
        </w:rPr>
        <w:t xml:space="preserve">s counsel </w:t>
      </w:r>
      <w:r w:rsidRPr="00EA04B9">
        <w:rPr>
          <w:rFonts w:ascii="Calibri" w:eastAsia="Calibri" w:cs="Calibri"/>
          <w:color w:val="000000"/>
          <w:u w:color="000000"/>
        </w:rPr>
        <w:t>“</w:t>
      </w:r>
      <w:r w:rsidRPr="00EA04B9">
        <w:rPr>
          <w:rFonts w:eastAsia="Calibri" w:hAnsi="Calibri" w:cs="Calibri"/>
          <w:color w:val="000000"/>
          <w:u w:color="000000"/>
        </w:rPr>
        <w:t>inquired</w:t>
      </w:r>
      <w:r w:rsidRPr="00EA04B9">
        <w:rPr>
          <w:rFonts w:ascii="Calibri" w:eastAsia="Calibri" w:cs="Calibri"/>
          <w:color w:val="000000"/>
          <w:u w:color="000000"/>
        </w:rPr>
        <w:t>”</w:t>
      </w:r>
      <w:r w:rsidRPr="00EA04B9">
        <w:rPr>
          <w:rFonts w:ascii="Calibri" w:eastAsia="Calibri" w:cs="Calibri"/>
          <w:color w:val="000000"/>
          <w:u w:color="000000"/>
        </w:rPr>
        <w:t xml:space="preserve"> </w:t>
      </w:r>
      <w:r w:rsidRPr="00EA04B9">
        <w:rPr>
          <w:rFonts w:eastAsia="Calibri" w:hAnsi="Calibri" w:cs="Calibri"/>
          <w:color w:val="000000"/>
          <w:u w:color="000000"/>
        </w:rPr>
        <w:t>about the judge</w:t>
      </w:r>
      <w:r w:rsidRPr="00EA04B9">
        <w:rPr>
          <w:rFonts w:ascii="Calibri" w:eastAsia="Calibri" w:cs="Calibri"/>
          <w:color w:val="000000"/>
          <w:u w:color="000000"/>
        </w:rPr>
        <w:t>’</w:t>
      </w:r>
      <w:r w:rsidRPr="00EA04B9">
        <w:rPr>
          <w:rFonts w:eastAsia="Calibri" w:hAnsi="Calibri" w:cs="Calibri"/>
          <w:color w:val="000000"/>
          <w:u w:color="000000"/>
        </w:rPr>
        <w:t xml:space="preserve">s instructions, thus </w:t>
      </w:r>
      <w:r w:rsidRPr="00EA04B9">
        <w:rPr>
          <w:rFonts w:ascii="Calibri" w:eastAsia="Calibri" w:cs="Calibri"/>
          <w:color w:val="000000"/>
          <w:u w:color="000000"/>
        </w:rPr>
        <w:t>“</w:t>
      </w:r>
      <w:r w:rsidRPr="00EA04B9">
        <w:rPr>
          <w:rFonts w:eastAsia="Calibri" w:hAnsi="Calibri" w:cs="Calibri"/>
          <w:color w:val="000000"/>
          <w:u w:color="000000"/>
        </w:rPr>
        <w:t>fairly present[</w:t>
      </w:r>
      <w:proofErr w:type="spellStart"/>
      <w:r w:rsidRPr="00EA04B9">
        <w:rPr>
          <w:rFonts w:eastAsia="Calibri" w:hAnsi="Calibri" w:cs="Calibri"/>
          <w:color w:val="000000"/>
          <w:u w:color="000000"/>
        </w:rPr>
        <w:t>ing</w:t>
      </w:r>
      <w:proofErr w:type="spellEnd"/>
      <w:r w:rsidRPr="00EA04B9">
        <w:rPr>
          <w:rFonts w:eastAsia="Calibri" w:hAnsi="Calibri" w:cs="Calibri"/>
          <w:color w:val="000000"/>
          <w:u w:color="000000"/>
        </w:rPr>
        <w:t>] the issue to the judge to take any necessary action</w:t>
      </w:r>
      <w:r w:rsidRPr="00EA04B9">
        <w:rPr>
          <w:rFonts w:ascii="Calibri" w:eastAsia="Calibri" w:cs="Calibri"/>
          <w:color w:val="000000"/>
          <w:u w:color="000000"/>
        </w:rPr>
        <w:t>”</w:t>
      </w:r>
      <w:r w:rsidRPr="00EA04B9">
        <w:rPr>
          <w:rFonts w:eastAsia="Calibri" w:hAnsi="Calibri" w:cs="Calibri"/>
          <w:color w:val="000000"/>
          <w:u w:color="000000"/>
        </w:rPr>
        <w:t>).  Since the purpose of an objection is simply to raise the issue to the trial judge, the goal is generally accomplished regardless of the identity of the objecting party and so another party can later appeal the same issue.</w:t>
      </w:r>
    </w:p>
    <w:p w:rsidR="00BF26C7" w:rsidRPr="008C09C4" w:rsidRDefault="00EA04B9" w:rsidP="008C09C4">
      <w:pPr>
        <w:suppressAutoHyphens/>
        <w:spacing w:line="480" w:lineRule="auto"/>
        <w:rPr>
          <w:rFonts w:eastAsia="Times New Roman"/>
          <w:color w:val="000000"/>
          <w:u w:color="000000"/>
        </w:rPr>
      </w:pPr>
      <w:r w:rsidRPr="00EA04B9">
        <w:rPr>
          <w:rFonts w:eastAsia="Times New Roman"/>
          <w:color w:val="000000"/>
          <w:u w:color="000000"/>
        </w:rPr>
        <w:tab/>
        <w:t>The Supreme Judicial Court has endorsed this general rule in Massachusetts care and protection cases.</w:t>
      </w:r>
      <w:r w:rsidRPr="00EA04B9">
        <w:rPr>
          <w:rFonts w:eastAsia="Calibri" w:hAnsi="Calibri" w:cs="Calibri"/>
          <w:color w:val="000000"/>
          <w:u w:color="000000"/>
        </w:rPr>
        <w:t xml:space="preserve"> </w:t>
      </w:r>
      <w:r w:rsidRPr="00EA04B9">
        <w:rPr>
          <w:rFonts w:eastAsia="Calibri" w:hAnsi="Calibri" w:cs="Calibri"/>
          <w:i/>
          <w:iCs/>
          <w:color w:val="000000"/>
          <w:u w:color="000000"/>
        </w:rPr>
        <w:t>See</w:t>
      </w:r>
      <w:r w:rsidRPr="00EA04B9">
        <w:rPr>
          <w:rFonts w:eastAsia="Calibri" w:hAnsi="Calibri" w:cs="Calibri"/>
          <w:color w:val="000000"/>
          <w:u w:color="000000"/>
        </w:rPr>
        <w:t xml:space="preserve"> </w:t>
      </w:r>
      <w:r w:rsidRPr="00EA04B9">
        <w:rPr>
          <w:rFonts w:eastAsia="Calibri" w:hAnsi="Calibri" w:cs="Calibri"/>
          <w:color w:val="000000"/>
          <w:u w:val="single" w:color="000000"/>
        </w:rPr>
        <w:t>Care &amp; Prot. of Sophie</w:t>
      </w:r>
      <w:r w:rsidRPr="00EA04B9">
        <w:rPr>
          <w:rFonts w:eastAsia="Calibri" w:hAnsi="Calibri" w:cs="Calibri"/>
          <w:color w:val="000000"/>
          <w:u w:color="000000"/>
        </w:rPr>
        <w:t xml:space="preserve">, 449 Mass. 100, 102-103 (2007).  In </w:t>
      </w:r>
      <w:r w:rsidRPr="00EA04B9">
        <w:rPr>
          <w:rFonts w:eastAsia="Calibri" w:hAnsi="Calibri" w:cs="Calibri"/>
          <w:color w:val="000000"/>
          <w:u w:val="single" w:color="000000"/>
        </w:rPr>
        <w:t>Care and Protection of Sophie</w:t>
      </w:r>
      <w:r w:rsidRPr="00EA04B9">
        <w:rPr>
          <w:rFonts w:eastAsia="Calibri" w:hAnsi="Calibri" w:cs="Calibri"/>
          <w:color w:val="000000"/>
          <w:u w:color="000000"/>
        </w:rPr>
        <w:t xml:space="preserve">, children appealed extrajudicial statements permitted during trial.  </w:t>
      </w:r>
      <w:proofErr w:type="gramStart"/>
      <w:r w:rsidRPr="00EA04B9">
        <w:rPr>
          <w:rFonts w:eastAsia="Calibri" w:hAnsi="Calibri" w:cs="Calibri"/>
          <w:color w:val="000000"/>
          <w:u w:val="single" w:color="000000"/>
        </w:rPr>
        <w:t>Care &amp; Prot. of Sophie</w:t>
      </w:r>
      <w:r w:rsidRPr="00EA04B9">
        <w:rPr>
          <w:rFonts w:eastAsia="Calibri" w:hAnsi="Calibri" w:cs="Calibri"/>
          <w:color w:val="000000"/>
          <w:u w:color="000000"/>
        </w:rPr>
        <w:t>, 449 Mass. 100, 102-103 n.4 (2007)</w:t>
      </w:r>
      <w:r w:rsidRPr="00EA04B9">
        <w:rPr>
          <w:rFonts w:eastAsia="Calibri" w:hAnsi="Calibri" w:cs="Calibri"/>
          <w:i/>
          <w:iCs/>
          <w:color w:val="000000"/>
          <w:u w:color="000000"/>
        </w:rPr>
        <w:t>.</w:t>
      </w:r>
      <w:proofErr w:type="gramEnd"/>
      <w:r w:rsidRPr="00EA04B9">
        <w:rPr>
          <w:rFonts w:eastAsia="Calibri" w:hAnsi="Calibri" w:cs="Calibri"/>
          <w:i/>
          <w:iCs/>
          <w:color w:val="000000"/>
          <w:u w:color="000000"/>
        </w:rPr>
        <w:t xml:space="preserve">  </w:t>
      </w:r>
      <w:r w:rsidRPr="00EA04B9">
        <w:rPr>
          <w:rFonts w:eastAsia="Calibri" w:hAnsi="Calibri" w:cs="Calibri"/>
          <w:color w:val="000000"/>
          <w:u w:color="000000"/>
        </w:rPr>
        <w:t xml:space="preserve">While the children did in fact object during the trial, the court noted, citing the criminal case </w:t>
      </w:r>
      <w:r w:rsidRPr="00EA04B9">
        <w:rPr>
          <w:rFonts w:eastAsia="Calibri" w:hAnsi="Calibri" w:cs="Calibri"/>
          <w:color w:val="000000"/>
          <w:u w:val="single" w:color="000000"/>
        </w:rPr>
        <w:t xml:space="preserve">Commonwealth v. </w:t>
      </w:r>
      <w:proofErr w:type="spellStart"/>
      <w:r w:rsidRPr="00EA04B9">
        <w:rPr>
          <w:rFonts w:eastAsia="Calibri" w:hAnsi="Calibri" w:cs="Calibri"/>
          <w:color w:val="000000"/>
          <w:u w:val="single" w:color="000000"/>
        </w:rPr>
        <w:t>Seminara</w:t>
      </w:r>
      <w:proofErr w:type="spellEnd"/>
      <w:r w:rsidRPr="00EA04B9">
        <w:rPr>
          <w:rFonts w:eastAsia="Calibri" w:hAnsi="Calibri" w:cs="Calibri"/>
          <w:color w:val="000000"/>
          <w:u w:color="000000"/>
        </w:rPr>
        <w:t>, that it would not affect the court</w:t>
      </w:r>
      <w:r w:rsidRPr="00EA04B9">
        <w:rPr>
          <w:rFonts w:ascii="Calibri" w:eastAsia="Calibri" w:cs="Calibri"/>
          <w:color w:val="000000"/>
          <w:u w:color="000000"/>
        </w:rPr>
        <w:t>’</w:t>
      </w:r>
      <w:r w:rsidRPr="00EA04B9">
        <w:rPr>
          <w:rFonts w:eastAsia="Calibri" w:hAnsi="Calibri" w:cs="Calibri"/>
          <w:color w:val="000000"/>
          <w:u w:color="000000"/>
        </w:rPr>
        <w:t xml:space="preserve">s analysis if the father instead objected during trial.  </w:t>
      </w:r>
      <w:r w:rsidRPr="00EA04B9">
        <w:rPr>
          <w:rFonts w:eastAsia="Calibri" w:hAnsi="Calibri" w:cs="Calibri"/>
          <w:i/>
          <w:iCs/>
          <w:color w:val="000000"/>
          <w:u w:color="000000"/>
        </w:rPr>
        <w:t>Id.</w:t>
      </w:r>
      <w:r w:rsidRPr="00EA04B9">
        <w:rPr>
          <w:rFonts w:eastAsia="Calibri" w:hAnsi="Calibri" w:cs="Calibri"/>
          <w:color w:val="000000"/>
          <w:u w:color="000000"/>
        </w:rPr>
        <w:t xml:space="preserve">  The children</w:t>
      </w:r>
      <w:r w:rsidRPr="00EA04B9">
        <w:rPr>
          <w:rFonts w:ascii="Calibri" w:eastAsia="Calibri" w:cs="Calibri"/>
          <w:color w:val="000000"/>
          <w:u w:color="000000"/>
        </w:rPr>
        <w:t>’</w:t>
      </w:r>
      <w:r w:rsidRPr="00EA04B9">
        <w:rPr>
          <w:rFonts w:eastAsia="Calibri" w:hAnsi="Calibri" w:cs="Calibri"/>
          <w:color w:val="000000"/>
          <w:u w:color="000000"/>
        </w:rPr>
        <w:t xml:space="preserve">s objection provided the trial judge with necessary notice of the issue, therefore satisfying the purpose of objecting.  </w:t>
      </w:r>
      <w:r w:rsidRPr="00EA04B9">
        <w:rPr>
          <w:rFonts w:eastAsia="Calibri" w:hAnsi="Calibri" w:cs="Calibri"/>
          <w:i/>
          <w:iCs/>
          <w:color w:val="000000"/>
          <w:u w:color="000000"/>
        </w:rPr>
        <w:t>Id</w:t>
      </w:r>
      <w:r w:rsidRPr="00EA04B9">
        <w:rPr>
          <w:rFonts w:eastAsia="Calibri" w:hAnsi="Calibri" w:cs="Calibri"/>
          <w:color w:val="000000"/>
          <w:u w:color="000000"/>
        </w:rPr>
        <w:t>.  Although the court did not extensively discuss this issue, it indicated support for the broad rule permitting a party to appeal because the purpose of objecting is satisfied, regardless of the objecting party</w:t>
      </w:r>
      <w:r w:rsidRPr="00EA04B9">
        <w:rPr>
          <w:rFonts w:ascii="Calibri" w:eastAsia="Calibri" w:cs="Calibri"/>
          <w:color w:val="000000"/>
          <w:u w:color="000000"/>
        </w:rPr>
        <w:t>’</w:t>
      </w:r>
      <w:r w:rsidRPr="00EA04B9">
        <w:rPr>
          <w:rFonts w:eastAsia="Calibri" w:hAnsi="Calibri" w:cs="Calibri"/>
          <w:color w:val="000000"/>
          <w:u w:color="000000"/>
        </w:rPr>
        <w:t>s identity.</w:t>
      </w:r>
      <w:r w:rsidR="008C09C4">
        <w:rPr>
          <w:rFonts w:eastAsia="Calibri" w:hAnsi="Calibri" w:cs="Calibri"/>
          <w:color w:val="000000"/>
          <w:u w:color="000000"/>
        </w:rPr>
        <w:t xml:space="preserve"> </w:t>
      </w:r>
      <w:r w:rsidR="005C5E0B">
        <w:t>Therefore, in situations when an aligned party objected to a particular issue at trial but the appealing party did not, the issu</w:t>
      </w:r>
      <w:r w:rsidR="005C5E0B">
        <w:t>e may still be preserved for the appellant</w:t>
      </w:r>
      <w:r w:rsidR="005C5E0B">
        <w:t>’</w:t>
      </w:r>
      <w:r w:rsidR="005C5E0B">
        <w:t>s appeal.</w:t>
      </w:r>
    </w:p>
    <w:p w:rsidR="00286C50" w:rsidRDefault="00286C50">
      <w:pPr>
        <w:pStyle w:val="Body"/>
        <w:spacing w:line="480" w:lineRule="auto"/>
        <w:jc w:val="center"/>
        <w:rPr>
          <w:rFonts w:ascii="Times New Roman"/>
          <w:b/>
          <w:bCs/>
          <w:sz w:val="24"/>
          <w:szCs w:val="24"/>
        </w:rPr>
      </w:pPr>
    </w:p>
    <w:p w:rsidR="00286C50" w:rsidRDefault="00286C50">
      <w:pPr>
        <w:pStyle w:val="Body"/>
        <w:spacing w:line="480" w:lineRule="auto"/>
        <w:jc w:val="center"/>
        <w:rPr>
          <w:rFonts w:ascii="Times New Roman"/>
          <w:b/>
          <w:bCs/>
          <w:sz w:val="24"/>
          <w:szCs w:val="24"/>
        </w:rPr>
      </w:pPr>
    </w:p>
    <w:p w:rsidR="00BF26C7" w:rsidRDefault="005C5E0B">
      <w:pPr>
        <w:pStyle w:val="Body"/>
        <w:spacing w:line="480" w:lineRule="auto"/>
        <w:jc w:val="center"/>
        <w:rPr>
          <w:rFonts w:ascii="Times New Roman" w:eastAsia="Times New Roman" w:hAnsi="Times New Roman" w:cs="Times New Roman"/>
          <w:b/>
          <w:bCs/>
          <w:sz w:val="24"/>
          <w:szCs w:val="24"/>
        </w:rPr>
      </w:pPr>
      <w:r>
        <w:rPr>
          <w:rFonts w:ascii="Times New Roman"/>
          <w:b/>
          <w:bCs/>
          <w:sz w:val="24"/>
          <w:szCs w:val="24"/>
        </w:rPr>
        <w:lastRenderedPageBreak/>
        <w:t>B. An issue may be preserved when the trial judge</w:t>
      </w:r>
      <w:r>
        <w:rPr>
          <w:rFonts w:hAnsi="Times New Roman"/>
          <w:b/>
          <w:bCs/>
          <w:sz w:val="24"/>
          <w:szCs w:val="24"/>
        </w:rPr>
        <w:t>’</w:t>
      </w:r>
      <w:r>
        <w:rPr>
          <w:rFonts w:ascii="Times New Roman"/>
          <w:b/>
          <w:bCs/>
          <w:sz w:val="24"/>
          <w:szCs w:val="24"/>
        </w:rPr>
        <w:t>s response clearly applied to all parties.</w:t>
      </w:r>
    </w:p>
    <w:p w:rsidR="00BF26C7" w:rsidRDefault="005C5E0B">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sz w:val="24"/>
          <w:szCs w:val="24"/>
        </w:rPr>
        <w:t>Some jurisdictions recognize narrow circumstances when an issue is preserved for an appellant based on a tri</w:t>
      </w:r>
      <w:r>
        <w:rPr>
          <w:rFonts w:ascii="Times New Roman"/>
          <w:sz w:val="24"/>
          <w:szCs w:val="24"/>
        </w:rPr>
        <w:t>al judge</w:t>
      </w:r>
      <w:r>
        <w:rPr>
          <w:rFonts w:hAnsi="Times New Roman"/>
          <w:sz w:val="24"/>
          <w:szCs w:val="24"/>
        </w:rPr>
        <w:t>’</w:t>
      </w:r>
      <w:r>
        <w:rPr>
          <w:rFonts w:ascii="Times New Roman"/>
          <w:sz w:val="24"/>
          <w:szCs w:val="24"/>
        </w:rPr>
        <w:t>s response to another party. For example, Maryland courts recognize limited circumstances when a judge</w:t>
      </w:r>
      <w:r>
        <w:rPr>
          <w:rFonts w:hAnsi="Times New Roman"/>
          <w:sz w:val="24"/>
          <w:szCs w:val="24"/>
        </w:rPr>
        <w:t>’</w:t>
      </w:r>
      <w:r>
        <w:rPr>
          <w:rFonts w:ascii="Times New Roman"/>
          <w:sz w:val="24"/>
          <w:szCs w:val="24"/>
        </w:rPr>
        <w:t xml:space="preserve">s response to the actions of one party clearly applied to all parties, and so it would have been futile for a second party to continue to raise </w:t>
      </w:r>
      <w:r>
        <w:rPr>
          <w:rFonts w:ascii="Times New Roman"/>
          <w:sz w:val="24"/>
          <w:szCs w:val="24"/>
        </w:rPr>
        <w:t xml:space="preserve">the issue and the issue was therefore preserved for an appeal. </w:t>
      </w:r>
      <w:r>
        <w:rPr>
          <w:rFonts w:ascii="Times New Roman"/>
          <w:i/>
          <w:iCs/>
          <w:sz w:val="24"/>
          <w:szCs w:val="24"/>
        </w:rPr>
        <w:t xml:space="preserve">See </w:t>
      </w:r>
      <w:r>
        <w:rPr>
          <w:rFonts w:ascii="Times New Roman"/>
          <w:sz w:val="24"/>
          <w:szCs w:val="24"/>
          <w:u w:val="single"/>
        </w:rPr>
        <w:t xml:space="preserve">In re </w:t>
      </w:r>
      <w:proofErr w:type="spellStart"/>
      <w:r>
        <w:rPr>
          <w:rFonts w:ascii="Times New Roman"/>
          <w:sz w:val="24"/>
          <w:szCs w:val="24"/>
          <w:u w:val="single"/>
        </w:rPr>
        <w:t>Emileigh</w:t>
      </w:r>
      <w:proofErr w:type="spellEnd"/>
      <w:r>
        <w:rPr>
          <w:rFonts w:ascii="Times New Roman"/>
          <w:sz w:val="24"/>
          <w:szCs w:val="24"/>
          <w:u w:val="single"/>
        </w:rPr>
        <w:t xml:space="preserve"> F.</w:t>
      </w:r>
      <w:r>
        <w:rPr>
          <w:rFonts w:ascii="Times New Roman"/>
          <w:sz w:val="24"/>
          <w:szCs w:val="24"/>
        </w:rPr>
        <w:t xml:space="preserve">, 724 A.2d 639, 642-43 (Md. 1999) (noting that the judge said that he would not let </w:t>
      </w:r>
      <w:r>
        <w:rPr>
          <w:rFonts w:hAnsi="Times New Roman"/>
          <w:sz w:val="24"/>
          <w:szCs w:val="24"/>
        </w:rPr>
        <w:t>“</w:t>
      </w:r>
      <w:r>
        <w:rPr>
          <w:rFonts w:ascii="Times New Roman"/>
          <w:sz w:val="24"/>
          <w:szCs w:val="24"/>
        </w:rPr>
        <w:t>you all argue</w:t>
      </w:r>
      <w:r>
        <w:rPr>
          <w:rFonts w:hAnsi="Times New Roman"/>
          <w:sz w:val="24"/>
          <w:szCs w:val="24"/>
        </w:rPr>
        <w:t>”</w:t>
      </w:r>
      <w:r>
        <w:rPr>
          <w:rFonts w:ascii="Times New Roman"/>
          <w:sz w:val="24"/>
          <w:szCs w:val="24"/>
        </w:rPr>
        <w:t xml:space="preserve">); </w:t>
      </w:r>
      <w:r>
        <w:rPr>
          <w:rFonts w:ascii="Times New Roman"/>
          <w:i/>
          <w:iCs/>
          <w:sz w:val="24"/>
          <w:szCs w:val="24"/>
        </w:rPr>
        <w:t>see also</w:t>
      </w:r>
      <w:r>
        <w:rPr>
          <w:rFonts w:ascii="Times New Roman"/>
          <w:sz w:val="24"/>
          <w:szCs w:val="24"/>
        </w:rPr>
        <w:t xml:space="preserve"> </w:t>
      </w:r>
      <w:r>
        <w:rPr>
          <w:rFonts w:ascii="Times New Roman"/>
          <w:sz w:val="24"/>
          <w:szCs w:val="24"/>
          <w:u w:val="single"/>
        </w:rPr>
        <w:t>Bundy v. State</w:t>
      </w:r>
      <w:r>
        <w:rPr>
          <w:rFonts w:ascii="Times New Roman"/>
          <w:sz w:val="24"/>
          <w:szCs w:val="24"/>
        </w:rPr>
        <w:t xml:space="preserve">, 638 A.2d 84 (Md. 1994) (holding that a </w:t>
      </w:r>
      <w:r>
        <w:rPr>
          <w:rFonts w:ascii="Times New Roman"/>
          <w:sz w:val="24"/>
          <w:szCs w:val="24"/>
        </w:rPr>
        <w:t>co-defendant</w:t>
      </w:r>
      <w:r>
        <w:rPr>
          <w:rFonts w:hAnsi="Times New Roman"/>
          <w:sz w:val="24"/>
          <w:szCs w:val="24"/>
        </w:rPr>
        <w:t>’</w:t>
      </w:r>
      <w:r>
        <w:rPr>
          <w:rFonts w:ascii="Times New Roman"/>
          <w:sz w:val="24"/>
          <w:szCs w:val="24"/>
        </w:rPr>
        <w:t>s objection preserved an issue for the defendant because the judge</w:t>
      </w:r>
      <w:r>
        <w:rPr>
          <w:rFonts w:hAnsi="Times New Roman"/>
          <w:sz w:val="24"/>
          <w:szCs w:val="24"/>
        </w:rPr>
        <w:t>’</w:t>
      </w:r>
      <w:r>
        <w:rPr>
          <w:rFonts w:ascii="Times New Roman"/>
          <w:sz w:val="24"/>
          <w:szCs w:val="24"/>
        </w:rPr>
        <w:t xml:space="preserve">s ruling indicated that it applied to </w:t>
      </w:r>
      <w:r>
        <w:rPr>
          <w:rFonts w:hAnsi="Times New Roman"/>
          <w:sz w:val="24"/>
          <w:szCs w:val="24"/>
        </w:rPr>
        <w:t>“</w:t>
      </w:r>
      <w:r>
        <w:rPr>
          <w:rFonts w:ascii="Times New Roman"/>
          <w:sz w:val="24"/>
          <w:szCs w:val="24"/>
        </w:rPr>
        <w:t>each</w:t>
      </w:r>
      <w:r>
        <w:rPr>
          <w:rFonts w:hAnsi="Times New Roman"/>
          <w:sz w:val="24"/>
          <w:szCs w:val="24"/>
        </w:rPr>
        <w:t>”</w:t>
      </w:r>
      <w:r>
        <w:rPr>
          <w:rFonts w:hAnsi="Times New Roman"/>
          <w:sz w:val="24"/>
          <w:szCs w:val="24"/>
        </w:rPr>
        <w:t xml:space="preserve"> </w:t>
      </w:r>
      <w:r>
        <w:rPr>
          <w:rFonts w:ascii="Times New Roman"/>
          <w:sz w:val="24"/>
          <w:szCs w:val="24"/>
        </w:rPr>
        <w:t xml:space="preserve">party). </w:t>
      </w:r>
      <w:r>
        <w:rPr>
          <w:rFonts w:ascii="Times New Roman"/>
          <w:sz w:val="24"/>
          <w:szCs w:val="24"/>
          <w:u w:val="single"/>
        </w:rPr>
        <w:t xml:space="preserve">In re </w:t>
      </w:r>
      <w:proofErr w:type="spellStart"/>
      <w:r>
        <w:rPr>
          <w:rFonts w:ascii="Times New Roman"/>
          <w:sz w:val="24"/>
          <w:szCs w:val="24"/>
          <w:u w:val="single"/>
        </w:rPr>
        <w:t>Emileigh</w:t>
      </w:r>
      <w:proofErr w:type="spellEnd"/>
      <w:r>
        <w:rPr>
          <w:rFonts w:ascii="Times New Roman"/>
          <w:sz w:val="24"/>
          <w:szCs w:val="24"/>
          <w:u w:val="single"/>
        </w:rPr>
        <w:t xml:space="preserve"> F.</w:t>
      </w:r>
      <w:r>
        <w:rPr>
          <w:rFonts w:ascii="Times New Roman"/>
          <w:sz w:val="24"/>
          <w:szCs w:val="24"/>
        </w:rPr>
        <w:t xml:space="preserve"> held that a mother was permitted to appeal her inability to present a closing statement during a Child in</w:t>
      </w:r>
      <w:r>
        <w:rPr>
          <w:rFonts w:ascii="Times New Roman"/>
          <w:sz w:val="24"/>
          <w:szCs w:val="24"/>
        </w:rPr>
        <w:t xml:space="preserve"> Need of Assistance proceeding, despite not raising the issue at trial, since the trial court denied father</w:t>
      </w:r>
      <w:r>
        <w:rPr>
          <w:rFonts w:hAnsi="Times New Roman"/>
          <w:sz w:val="24"/>
          <w:szCs w:val="24"/>
        </w:rPr>
        <w:t>’</w:t>
      </w:r>
      <w:r>
        <w:rPr>
          <w:rFonts w:ascii="Times New Roman"/>
          <w:sz w:val="24"/>
          <w:szCs w:val="24"/>
        </w:rPr>
        <w:t xml:space="preserve">s request. </w:t>
      </w:r>
      <w:proofErr w:type="gramStart"/>
      <w:r>
        <w:rPr>
          <w:rFonts w:ascii="Times New Roman"/>
          <w:sz w:val="24"/>
          <w:szCs w:val="24"/>
          <w:u w:val="single"/>
        </w:rPr>
        <w:t xml:space="preserve">In re </w:t>
      </w:r>
      <w:proofErr w:type="spellStart"/>
      <w:r>
        <w:rPr>
          <w:rFonts w:ascii="Times New Roman"/>
          <w:sz w:val="24"/>
          <w:szCs w:val="24"/>
          <w:u w:val="single"/>
        </w:rPr>
        <w:t>Emileigh</w:t>
      </w:r>
      <w:proofErr w:type="spellEnd"/>
      <w:r>
        <w:rPr>
          <w:rFonts w:ascii="Times New Roman"/>
          <w:sz w:val="24"/>
          <w:szCs w:val="24"/>
          <w:u w:val="single"/>
        </w:rPr>
        <w:t xml:space="preserve"> F.</w:t>
      </w:r>
      <w:r>
        <w:rPr>
          <w:rFonts w:ascii="Times New Roman"/>
          <w:sz w:val="24"/>
          <w:szCs w:val="24"/>
        </w:rPr>
        <w:t xml:space="preserve"> at 642.</w:t>
      </w:r>
      <w:proofErr w:type="gramEnd"/>
      <w:r>
        <w:rPr>
          <w:rFonts w:ascii="Times New Roman"/>
          <w:sz w:val="24"/>
          <w:szCs w:val="24"/>
        </w:rPr>
        <w:t xml:space="preserve"> The Court of Appeals of Maryland noted that the judge</w:t>
      </w:r>
      <w:r>
        <w:rPr>
          <w:rFonts w:hAnsi="Times New Roman"/>
          <w:sz w:val="24"/>
          <w:szCs w:val="24"/>
        </w:rPr>
        <w:t>’</w:t>
      </w:r>
      <w:r>
        <w:rPr>
          <w:rFonts w:ascii="Times New Roman"/>
          <w:sz w:val="24"/>
          <w:szCs w:val="24"/>
        </w:rPr>
        <w:t xml:space="preserve">s ruling </w:t>
      </w:r>
      <w:r>
        <w:rPr>
          <w:rFonts w:hAnsi="Times New Roman"/>
          <w:sz w:val="24"/>
          <w:szCs w:val="24"/>
        </w:rPr>
        <w:t>“</w:t>
      </w:r>
      <w:r>
        <w:rPr>
          <w:rFonts w:ascii="Times New Roman"/>
          <w:sz w:val="24"/>
          <w:szCs w:val="24"/>
        </w:rPr>
        <w:t>clearly applied</w:t>
      </w:r>
      <w:r>
        <w:rPr>
          <w:rFonts w:hAnsi="Times New Roman"/>
          <w:sz w:val="24"/>
          <w:szCs w:val="24"/>
        </w:rPr>
        <w:t>”</w:t>
      </w:r>
      <w:r>
        <w:rPr>
          <w:rFonts w:hAnsi="Times New Roman"/>
          <w:sz w:val="24"/>
          <w:szCs w:val="24"/>
        </w:rPr>
        <w:t xml:space="preserve"> </w:t>
      </w:r>
      <w:r>
        <w:rPr>
          <w:rFonts w:ascii="Times New Roman"/>
          <w:sz w:val="24"/>
          <w:szCs w:val="24"/>
        </w:rPr>
        <w:t>to the mother as well and that</w:t>
      </w:r>
      <w:r>
        <w:rPr>
          <w:rFonts w:ascii="Times New Roman"/>
          <w:sz w:val="24"/>
          <w:szCs w:val="24"/>
        </w:rPr>
        <w:t xml:space="preserve"> </w:t>
      </w:r>
      <w:r>
        <w:rPr>
          <w:rFonts w:hAnsi="Times New Roman"/>
          <w:sz w:val="24"/>
          <w:szCs w:val="24"/>
        </w:rPr>
        <w:t>“</w:t>
      </w:r>
      <w:r>
        <w:rPr>
          <w:rFonts w:ascii="Times New Roman"/>
          <w:sz w:val="24"/>
          <w:szCs w:val="24"/>
        </w:rPr>
        <w:t>any objection would have been futile</w:t>
      </w:r>
      <w:r>
        <w:rPr>
          <w:rFonts w:hAnsi="Times New Roman"/>
          <w:sz w:val="24"/>
          <w:szCs w:val="24"/>
        </w:rPr>
        <w:t>”</w:t>
      </w:r>
      <w:r>
        <w:rPr>
          <w:rFonts w:hAnsi="Times New Roman"/>
          <w:sz w:val="24"/>
          <w:szCs w:val="24"/>
        </w:rPr>
        <w:t xml:space="preserve"> </w:t>
      </w:r>
      <w:r>
        <w:rPr>
          <w:rFonts w:ascii="Times New Roman"/>
          <w:sz w:val="24"/>
          <w:szCs w:val="24"/>
        </w:rPr>
        <w:t xml:space="preserve">regarding the same issue. </w:t>
      </w:r>
      <w:r>
        <w:rPr>
          <w:rFonts w:ascii="Times New Roman"/>
          <w:i/>
          <w:iCs/>
          <w:sz w:val="24"/>
          <w:szCs w:val="24"/>
        </w:rPr>
        <w:t xml:space="preserve">Id. </w:t>
      </w:r>
      <w:r>
        <w:rPr>
          <w:rFonts w:ascii="Times New Roman"/>
          <w:sz w:val="24"/>
          <w:szCs w:val="24"/>
        </w:rPr>
        <w:t xml:space="preserve">The Appeals Court of Maryland recognized that the issue was therefore preserved for mother on appeal. </w:t>
      </w:r>
      <w:proofErr w:type="gramStart"/>
      <w:r>
        <w:rPr>
          <w:rFonts w:ascii="Times New Roman"/>
          <w:i/>
          <w:iCs/>
          <w:sz w:val="24"/>
          <w:szCs w:val="24"/>
        </w:rPr>
        <w:t xml:space="preserve">Id. </w:t>
      </w:r>
      <w:r>
        <w:rPr>
          <w:rFonts w:ascii="Times New Roman"/>
          <w:sz w:val="24"/>
          <w:szCs w:val="24"/>
        </w:rPr>
        <w:t>at 643.</w:t>
      </w:r>
      <w:proofErr w:type="gramEnd"/>
      <w:r>
        <w:rPr>
          <w:rFonts w:ascii="Times New Roman"/>
          <w:sz w:val="24"/>
          <w:szCs w:val="24"/>
        </w:rPr>
        <w:t xml:space="preserve"> Although Massachusetts does not have a comparable child welfare case on </w:t>
      </w:r>
      <w:r>
        <w:rPr>
          <w:rFonts w:ascii="Times New Roman"/>
          <w:sz w:val="24"/>
          <w:szCs w:val="24"/>
        </w:rPr>
        <w:t xml:space="preserve">this same principle, the Supreme Judicial Court has held that </w:t>
      </w:r>
      <w:r>
        <w:rPr>
          <w:rFonts w:hAnsi="Times New Roman"/>
          <w:sz w:val="24"/>
          <w:szCs w:val="24"/>
        </w:rPr>
        <w:t>“</w:t>
      </w:r>
      <w:r>
        <w:rPr>
          <w:rFonts w:ascii="Times New Roman"/>
          <w:sz w:val="24"/>
          <w:szCs w:val="24"/>
        </w:rPr>
        <w:t>the adequacy of an objection to the admissibility of the evidence at issue must be assessed in the context of the proceeding as a whole</w:t>
      </w:r>
      <w:r>
        <w:rPr>
          <w:rFonts w:hAnsi="Times New Roman"/>
          <w:sz w:val="24"/>
          <w:szCs w:val="24"/>
        </w:rPr>
        <w:t>”</w:t>
      </w:r>
      <w:r>
        <w:rPr>
          <w:rFonts w:hAnsi="Times New Roman"/>
          <w:sz w:val="24"/>
          <w:szCs w:val="24"/>
        </w:rPr>
        <w:t xml:space="preserve"> </w:t>
      </w:r>
      <w:r>
        <w:rPr>
          <w:rFonts w:ascii="Times New Roman"/>
          <w:sz w:val="24"/>
          <w:szCs w:val="24"/>
        </w:rPr>
        <w:t>and that an issue was preserved for appeal when the tria</w:t>
      </w:r>
      <w:r>
        <w:rPr>
          <w:rFonts w:ascii="Times New Roman"/>
          <w:sz w:val="24"/>
          <w:szCs w:val="24"/>
        </w:rPr>
        <w:t xml:space="preserve">l judge told the defendant that his rights were preserved. </w:t>
      </w:r>
      <w:r>
        <w:rPr>
          <w:rFonts w:ascii="Times New Roman"/>
          <w:sz w:val="24"/>
          <w:szCs w:val="24"/>
          <w:u w:val="single"/>
        </w:rPr>
        <w:t>Com. v. Aviles</w:t>
      </w:r>
      <w:r>
        <w:rPr>
          <w:rFonts w:ascii="Times New Roman"/>
          <w:sz w:val="24"/>
          <w:szCs w:val="24"/>
        </w:rPr>
        <w:t xml:space="preserve">, 461 Mass. 60, 66 (2011) (holding that filing motions in </w:t>
      </w:r>
      <w:proofErr w:type="spellStart"/>
      <w:r>
        <w:rPr>
          <w:rFonts w:ascii="Times New Roman"/>
          <w:sz w:val="24"/>
          <w:szCs w:val="24"/>
        </w:rPr>
        <w:t>limine</w:t>
      </w:r>
      <w:proofErr w:type="spellEnd"/>
      <w:r>
        <w:rPr>
          <w:rFonts w:ascii="Times New Roman"/>
          <w:sz w:val="24"/>
          <w:szCs w:val="24"/>
        </w:rPr>
        <w:t xml:space="preserve"> preserved the defendant</w:t>
      </w:r>
      <w:r>
        <w:rPr>
          <w:rFonts w:hAnsi="Times New Roman"/>
          <w:sz w:val="24"/>
          <w:szCs w:val="24"/>
        </w:rPr>
        <w:t>’</w:t>
      </w:r>
      <w:r>
        <w:rPr>
          <w:rFonts w:ascii="Times New Roman"/>
          <w:sz w:val="24"/>
          <w:szCs w:val="24"/>
        </w:rPr>
        <w:t>s rights when the trial judge stated that the rights were maintained). This suggests that an i</w:t>
      </w:r>
      <w:r>
        <w:rPr>
          <w:rFonts w:ascii="Times New Roman"/>
          <w:sz w:val="24"/>
          <w:szCs w:val="24"/>
        </w:rPr>
        <w:t xml:space="preserve">ssue will be preserved for appeal when the trial judge indicates that a ruling applies to all parties, given the context of the proceeding and the statement. Therefore, an issue may be </w:t>
      </w:r>
      <w:r>
        <w:rPr>
          <w:rFonts w:ascii="Times New Roman"/>
          <w:sz w:val="24"/>
          <w:szCs w:val="24"/>
        </w:rPr>
        <w:lastRenderedPageBreak/>
        <w:t>preserved for appeal under these circumstances even if the appellant di</w:t>
      </w:r>
      <w:r>
        <w:rPr>
          <w:rFonts w:ascii="Times New Roman"/>
          <w:sz w:val="24"/>
          <w:szCs w:val="24"/>
        </w:rPr>
        <w:t>d not take affirmative actions at trial.</w:t>
      </w:r>
    </w:p>
    <w:p w:rsidR="00BF26C7" w:rsidRDefault="005C5E0B">
      <w:pPr>
        <w:pStyle w:val="Body"/>
        <w:spacing w:line="480" w:lineRule="auto"/>
        <w:jc w:val="center"/>
        <w:rPr>
          <w:rFonts w:ascii="Times New Roman" w:eastAsia="Times New Roman" w:hAnsi="Times New Roman" w:cs="Times New Roman"/>
          <w:b/>
          <w:bCs/>
          <w:sz w:val="24"/>
          <w:szCs w:val="24"/>
        </w:rPr>
      </w:pPr>
      <w:r>
        <w:rPr>
          <w:rFonts w:ascii="Times New Roman"/>
          <w:b/>
          <w:bCs/>
          <w:sz w:val="24"/>
          <w:szCs w:val="24"/>
        </w:rPr>
        <w:t>C.</w:t>
      </w:r>
      <w:r>
        <w:rPr>
          <w:rFonts w:ascii="Times New Roman"/>
          <w:sz w:val="24"/>
          <w:szCs w:val="24"/>
        </w:rPr>
        <w:t xml:space="preserve"> </w:t>
      </w:r>
      <w:r>
        <w:rPr>
          <w:rFonts w:ascii="Times New Roman"/>
          <w:b/>
          <w:bCs/>
          <w:sz w:val="24"/>
          <w:szCs w:val="24"/>
        </w:rPr>
        <w:t>An appellant may not rely on another party</w:t>
      </w:r>
      <w:r>
        <w:rPr>
          <w:rFonts w:hAnsi="Times New Roman"/>
          <w:b/>
          <w:bCs/>
          <w:sz w:val="24"/>
          <w:szCs w:val="24"/>
        </w:rPr>
        <w:t>’</w:t>
      </w:r>
      <w:r>
        <w:rPr>
          <w:rFonts w:ascii="Times New Roman"/>
          <w:b/>
          <w:bCs/>
          <w:sz w:val="24"/>
          <w:szCs w:val="24"/>
        </w:rPr>
        <w:t>s motion to preserve an issue because the appellant was not a party to that motion and motions must be particular to the party.</w:t>
      </w:r>
    </w:p>
    <w:p w:rsidR="00BF26C7" w:rsidRDefault="005C5E0B">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sz w:val="24"/>
          <w:szCs w:val="24"/>
        </w:rPr>
        <w:t xml:space="preserve">Although there are situations when an </w:t>
      </w:r>
      <w:r>
        <w:rPr>
          <w:rFonts w:ascii="Times New Roman"/>
          <w:sz w:val="24"/>
          <w:szCs w:val="24"/>
        </w:rPr>
        <w:t>appellant may rely on another party</w:t>
      </w:r>
      <w:r>
        <w:rPr>
          <w:rFonts w:hAnsi="Times New Roman"/>
          <w:sz w:val="24"/>
          <w:szCs w:val="24"/>
        </w:rPr>
        <w:t>’</w:t>
      </w:r>
      <w:r>
        <w:rPr>
          <w:rFonts w:ascii="Times New Roman"/>
          <w:sz w:val="24"/>
          <w:szCs w:val="24"/>
        </w:rPr>
        <w:t>s actions to preserve an issue for appeal, an appellant cannot generally rely on another party</w:t>
      </w:r>
      <w:r>
        <w:rPr>
          <w:rFonts w:hAnsi="Times New Roman"/>
          <w:sz w:val="24"/>
          <w:szCs w:val="24"/>
        </w:rPr>
        <w:t>’</w:t>
      </w:r>
      <w:r>
        <w:rPr>
          <w:rFonts w:ascii="Times New Roman"/>
          <w:sz w:val="24"/>
          <w:szCs w:val="24"/>
        </w:rPr>
        <w:t xml:space="preserve">s motion for the same purpose. </w:t>
      </w:r>
      <w:r>
        <w:rPr>
          <w:rFonts w:ascii="Times New Roman"/>
          <w:i/>
          <w:iCs/>
          <w:sz w:val="24"/>
          <w:szCs w:val="24"/>
        </w:rPr>
        <w:t xml:space="preserve">See </w:t>
      </w:r>
      <w:r>
        <w:rPr>
          <w:rFonts w:ascii="Times New Roman"/>
          <w:sz w:val="24"/>
          <w:szCs w:val="24"/>
          <w:u w:val="single"/>
        </w:rPr>
        <w:t>Adoption of Norbert</w:t>
      </w:r>
      <w:r>
        <w:rPr>
          <w:rFonts w:ascii="Times New Roman"/>
          <w:sz w:val="24"/>
          <w:szCs w:val="24"/>
        </w:rPr>
        <w:t>, 83 Mass. App. Ct. 542 (2013) (reviewing mother</w:t>
      </w:r>
      <w:r>
        <w:rPr>
          <w:rFonts w:hAnsi="Times New Roman"/>
          <w:sz w:val="24"/>
          <w:szCs w:val="24"/>
        </w:rPr>
        <w:t>’</w:t>
      </w:r>
      <w:r>
        <w:rPr>
          <w:rFonts w:ascii="Times New Roman"/>
          <w:sz w:val="24"/>
          <w:szCs w:val="24"/>
        </w:rPr>
        <w:t>s appeal because of ex</w:t>
      </w:r>
      <w:r>
        <w:rPr>
          <w:rFonts w:ascii="Times New Roman"/>
          <w:sz w:val="24"/>
          <w:szCs w:val="24"/>
        </w:rPr>
        <w:t>ceptional circumstances, not because father filed a motion requesting that the trial judge</w:t>
      </w:r>
      <w:r>
        <w:rPr>
          <w:rFonts w:hAnsi="Times New Roman"/>
          <w:sz w:val="24"/>
          <w:szCs w:val="24"/>
        </w:rPr>
        <w:t>’</w:t>
      </w:r>
      <w:r>
        <w:rPr>
          <w:rFonts w:ascii="Times New Roman"/>
          <w:sz w:val="24"/>
          <w:szCs w:val="24"/>
        </w:rPr>
        <w:t xml:space="preserve">s recusal); </w:t>
      </w:r>
      <w:r>
        <w:rPr>
          <w:rFonts w:ascii="Times New Roman"/>
          <w:i/>
          <w:iCs/>
          <w:sz w:val="24"/>
          <w:szCs w:val="24"/>
        </w:rPr>
        <w:t xml:space="preserve">see also </w:t>
      </w:r>
      <w:r>
        <w:rPr>
          <w:rFonts w:ascii="Times New Roman"/>
          <w:sz w:val="24"/>
          <w:szCs w:val="24"/>
          <w:u w:val="single"/>
        </w:rPr>
        <w:t>Adoption of Clive</w:t>
      </w:r>
      <w:r>
        <w:rPr>
          <w:rFonts w:ascii="Times New Roman"/>
          <w:sz w:val="24"/>
          <w:szCs w:val="24"/>
        </w:rPr>
        <w:t>, No. 02-P-1025, 56 Mass. App. Ct. 1114 (Dec. 11, 2002) (rejecting father</w:t>
      </w:r>
      <w:r>
        <w:rPr>
          <w:rFonts w:hAnsi="Times New Roman"/>
          <w:sz w:val="24"/>
          <w:szCs w:val="24"/>
        </w:rPr>
        <w:t>’</w:t>
      </w:r>
      <w:r>
        <w:rPr>
          <w:rFonts w:ascii="Times New Roman"/>
          <w:sz w:val="24"/>
          <w:szCs w:val="24"/>
        </w:rPr>
        <w:t>s attempt to rely on mother</w:t>
      </w:r>
      <w:r>
        <w:rPr>
          <w:rFonts w:hAnsi="Times New Roman"/>
          <w:sz w:val="24"/>
          <w:szCs w:val="24"/>
        </w:rPr>
        <w:t>’</w:t>
      </w:r>
      <w:r>
        <w:rPr>
          <w:rFonts w:ascii="Times New Roman"/>
          <w:sz w:val="24"/>
          <w:szCs w:val="24"/>
        </w:rPr>
        <w:t>s motion to bifurcate the</w:t>
      </w:r>
      <w:r>
        <w:rPr>
          <w:rFonts w:ascii="Times New Roman"/>
          <w:sz w:val="24"/>
          <w:szCs w:val="24"/>
        </w:rPr>
        <w:t xml:space="preserve"> trial). The Appeals Court does not permit another party</w:t>
      </w:r>
      <w:r>
        <w:rPr>
          <w:rFonts w:hAnsi="Times New Roman"/>
          <w:sz w:val="24"/>
          <w:szCs w:val="24"/>
        </w:rPr>
        <w:t>’</w:t>
      </w:r>
      <w:r>
        <w:rPr>
          <w:rFonts w:ascii="Times New Roman"/>
          <w:sz w:val="24"/>
          <w:szCs w:val="24"/>
        </w:rPr>
        <w:t xml:space="preserve">s motion to preserve an appeal because the appellant was not a party to that particular action.  </w:t>
      </w:r>
      <w:r>
        <w:rPr>
          <w:rFonts w:ascii="Times New Roman"/>
          <w:sz w:val="24"/>
          <w:szCs w:val="24"/>
          <w:u w:val="single"/>
        </w:rPr>
        <w:t>Adoption of Clive</w:t>
      </w:r>
      <w:r>
        <w:rPr>
          <w:rFonts w:ascii="Times New Roman"/>
          <w:sz w:val="24"/>
          <w:szCs w:val="24"/>
        </w:rPr>
        <w:t xml:space="preserve"> at *1; </w:t>
      </w:r>
      <w:r>
        <w:rPr>
          <w:rFonts w:ascii="Times New Roman"/>
          <w:i/>
          <w:iCs/>
          <w:sz w:val="24"/>
          <w:szCs w:val="24"/>
        </w:rPr>
        <w:t xml:space="preserve">see also </w:t>
      </w:r>
      <w:r>
        <w:rPr>
          <w:rFonts w:ascii="Times New Roman"/>
          <w:sz w:val="24"/>
          <w:szCs w:val="24"/>
          <w:u w:val="single"/>
        </w:rPr>
        <w:t>Adoption of Paula</w:t>
      </w:r>
      <w:r>
        <w:rPr>
          <w:rFonts w:ascii="Times New Roman"/>
          <w:sz w:val="24"/>
          <w:szCs w:val="24"/>
        </w:rPr>
        <w:t>, 420 Mass. 716, 722-23 n. 8 (1995). The Appeals Co</w:t>
      </w:r>
      <w:r>
        <w:rPr>
          <w:rFonts w:ascii="Times New Roman"/>
          <w:sz w:val="24"/>
          <w:szCs w:val="24"/>
        </w:rPr>
        <w:t xml:space="preserve">urt also recognizes this same limitation when parties seek to join appeals based on motions that were before a single justice. </w:t>
      </w:r>
      <w:r>
        <w:rPr>
          <w:rFonts w:ascii="Times New Roman"/>
          <w:i/>
          <w:iCs/>
          <w:sz w:val="24"/>
          <w:szCs w:val="24"/>
        </w:rPr>
        <w:t xml:space="preserve">See </w:t>
      </w:r>
      <w:r>
        <w:rPr>
          <w:rFonts w:ascii="Times New Roman"/>
          <w:sz w:val="24"/>
          <w:szCs w:val="24"/>
          <w:u w:val="single"/>
        </w:rPr>
        <w:t xml:space="preserve">Care &amp; Prot. of </w:t>
      </w:r>
      <w:proofErr w:type="spellStart"/>
      <w:r>
        <w:rPr>
          <w:rFonts w:ascii="Times New Roman"/>
          <w:sz w:val="24"/>
          <w:szCs w:val="24"/>
          <w:u w:val="single"/>
        </w:rPr>
        <w:t>Zita</w:t>
      </w:r>
      <w:proofErr w:type="spellEnd"/>
      <w:r>
        <w:rPr>
          <w:rFonts w:ascii="Times New Roman"/>
          <w:sz w:val="24"/>
          <w:szCs w:val="24"/>
        </w:rPr>
        <w:t>, 455 Mass. 272, 272 n.1 (2009) (noting that the single justice denied the parent</w:t>
      </w:r>
      <w:r>
        <w:rPr>
          <w:rFonts w:hAnsi="Times New Roman"/>
          <w:sz w:val="24"/>
          <w:szCs w:val="24"/>
        </w:rPr>
        <w:t>’</w:t>
      </w:r>
      <w:r>
        <w:rPr>
          <w:rFonts w:ascii="Times New Roman"/>
          <w:sz w:val="24"/>
          <w:szCs w:val="24"/>
        </w:rPr>
        <w:t>s motion to join the ap</w:t>
      </w:r>
      <w:r>
        <w:rPr>
          <w:rFonts w:ascii="Times New Roman"/>
          <w:sz w:val="24"/>
          <w:szCs w:val="24"/>
        </w:rPr>
        <w:t>peal and so neither parent was a party to the petition before the single justice or were parties on the child</w:t>
      </w:r>
      <w:r>
        <w:rPr>
          <w:rFonts w:hAnsi="Times New Roman"/>
          <w:sz w:val="24"/>
          <w:szCs w:val="24"/>
        </w:rPr>
        <w:t>’</w:t>
      </w:r>
      <w:r>
        <w:rPr>
          <w:rFonts w:ascii="Times New Roman"/>
          <w:sz w:val="24"/>
          <w:szCs w:val="24"/>
        </w:rPr>
        <w:t xml:space="preserve">s appeal); </w:t>
      </w:r>
      <w:r>
        <w:rPr>
          <w:rFonts w:ascii="Times New Roman"/>
          <w:i/>
          <w:iCs/>
          <w:sz w:val="24"/>
          <w:szCs w:val="24"/>
        </w:rPr>
        <w:t xml:space="preserve">see also </w:t>
      </w:r>
      <w:r>
        <w:rPr>
          <w:rFonts w:ascii="Times New Roman"/>
          <w:sz w:val="24"/>
          <w:szCs w:val="24"/>
          <w:u w:val="single"/>
        </w:rPr>
        <w:t>Adoption of Helen</w:t>
      </w:r>
      <w:r>
        <w:rPr>
          <w:rFonts w:ascii="Times New Roman"/>
          <w:sz w:val="24"/>
          <w:szCs w:val="24"/>
        </w:rPr>
        <w:t>, 429 Mass. 856, 861 n.8 (noting that the child could not join the mother</w:t>
      </w:r>
      <w:r>
        <w:rPr>
          <w:rFonts w:hAnsi="Times New Roman"/>
          <w:sz w:val="24"/>
          <w:szCs w:val="24"/>
        </w:rPr>
        <w:t>’</w:t>
      </w:r>
      <w:r>
        <w:rPr>
          <w:rFonts w:ascii="Times New Roman"/>
          <w:sz w:val="24"/>
          <w:szCs w:val="24"/>
        </w:rPr>
        <w:t>s petition to appeal the mother</w:t>
      </w:r>
      <w:r>
        <w:rPr>
          <w:rFonts w:hAnsi="Times New Roman"/>
          <w:sz w:val="24"/>
          <w:szCs w:val="24"/>
        </w:rPr>
        <w:t>’</w:t>
      </w:r>
      <w:r>
        <w:rPr>
          <w:rFonts w:ascii="Times New Roman"/>
          <w:sz w:val="24"/>
          <w:szCs w:val="24"/>
        </w:rPr>
        <w:t>s d</w:t>
      </w:r>
      <w:r>
        <w:rPr>
          <w:rFonts w:ascii="Times New Roman"/>
          <w:sz w:val="24"/>
          <w:szCs w:val="24"/>
        </w:rPr>
        <w:t xml:space="preserve">enied request for a review and redetermination hearing, although the child herself could request the hearing).  Instead, the Appeals Court recognizes situations when a party has </w:t>
      </w:r>
      <w:r>
        <w:rPr>
          <w:rFonts w:hAnsi="Times New Roman"/>
          <w:sz w:val="24"/>
          <w:szCs w:val="24"/>
        </w:rPr>
        <w:t>“</w:t>
      </w:r>
      <w:r>
        <w:rPr>
          <w:rFonts w:ascii="Times New Roman"/>
          <w:sz w:val="24"/>
          <w:szCs w:val="24"/>
        </w:rPr>
        <w:t>an affirmative obligation</w:t>
      </w:r>
      <w:r>
        <w:rPr>
          <w:rFonts w:hAnsi="Times New Roman"/>
          <w:sz w:val="24"/>
          <w:szCs w:val="24"/>
        </w:rPr>
        <w:t>”</w:t>
      </w:r>
      <w:r>
        <w:rPr>
          <w:rFonts w:hAnsi="Times New Roman"/>
          <w:sz w:val="24"/>
          <w:szCs w:val="24"/>
        </w:rPr>
        <w:t xml:space="preserve"> </w:t>
      </w:r>
      <w:r>
        <w:rPr>
          <w:rFonts w:ascii="Times New Roman"/>
          <w:sz w:val="24"/>
          <w:szCs w:val="24"/>
        </w:rPr>
        <w:t>to file a motion, such as awareness of reasons for</w:t>
      </w:r>
      <w:r>
        <w:rPr>
          <w:rFonts w:ascii="Times New Roman"/>
          <w:sz w:val="24"/>
          <w:szCs w:val="24"/>
        </w:rPr>
        <w:t xml:space="preserve"> a trial judge</w:t>
      </w:r>
      <w:r>
        <w:rPr>
          <w:rFonts w:hAnsi="Times New Roman"/>
          <w:sz w:val="24"/>
          <w:szCs w:val="24"/>
        </w:rPr>
        <w:t>’</w:t>
      </w:r>
      <w:r>
        <w:rPr>
          <w:rFonts w:ascii="Times New Roman"/>
          <w:sz w:val="24"/>
          <w:szCs w:val="24"/>
        </w:rPr>
        <w:t>s recusal, and a party cannot depend on another</w:t>
      </w:r>
      <w:r>
        <w:rPr>
          <w:rFonts w:hAnsi="Times New Roman"/>
          <w:sz w:val="24"/>
          <w:szCs w:val="24"/>
        </w:rPr>
        <w:t>’</w:t>
      </w:r>
      <w:r>
        <w:rPr>
          <w:rFonts w:ascii="Times New Roman"/>
          <w:sz w:val="24"/>
          <w:szCs w:val="24"/>
        </w:rPr>
        <w:t xml:space="preserve">s motion to preserve the issue for an appeal. </w:t>
      </w:r>
      <w:r>
        <w:rPr>
          <w:rFonts w:ascii="Times New Roman"/>
          <w:sz w:val="24"/>
          <w:szCs w:val="24"/>
          <w:u w:val="single"/>
        </w:rPr>
        <w:t>Adoption of Norbert</w:t>
      </w:r>
      <w:r>
        <w:rPr>
          <w:rFonts w:ascii="Times New Roman"/>
          <w:sz w:val="24"/>
          <w:szCs w:val="24"/>
        </w:rPr>
        <w:t xml:space="preserve"> at 545; </w:t>
      </w:r>
      <w:r>
        <w:rPr>
          <w:rFonts w:ascii="Times New Roman"/>
          <w:i/>
          <w:iCs/>
          <w:sz w:val="24"/>
          <w:szCs w:val="24"/>
        </w:rPr>
        <w:t xml:space="preserve">see also </w:t>
      </w:r>
      <w:proofErr w:type="spellStart"/>
      <w:r>
        <w:rPr>
          <w:rFonts w:ascii="Times New Roman"/>
          <w:sz w:val="24"/>
          <w:szCs w:val="24"/>
          <w:u w:val="single"/>
        </w:rPr>
        <w:t>Demoulas</w:t>
      </w:r>
      <w:proofErr w:type="spellEnd"/>
      <w:r>
        <w:rPr>
          <w:rFonts w:ascii="Times New Roman"/>
          <w:sz w:val="24"/>
          <w:szCs w:val="24"/>
          <w:u w:val="single"/>
        </w:rPr>
        <w:t xml:space="preserve"> v. </w:t>
      </w:r>
      <w:proofErr w:type="spellStart"/>
      <w:r>
        <w:rPr>
          <w:rFonts w:ascii="Times New Roman"/>
          <w:sz w:val="24"/>
          <w:szCs w:val="24"/>
          <w:u w:val="single"/>
        </w:rPr>
        <w:t>Demoulas</w:t>
      </w:r>
      <w:proofErr w:type="spellEnd"/>
      <w:r>
        <w:rPr>
          <w:rFonts w:ascii="Times New Roman"/>
          <w:sz w:val="24"/>
          <w:szCs w:val="24"/>
          <w:u w:val="single"/>
        </w:rPr>
        <w:t xml:space="preserve"> Super </w:t>
      </w:r>
      <w:proofErr w:type="spellStart"/>
      <w:r>
        <w:rPr>
          <w:rFonts w:ascii="Times New Roman"/>
          <w:sz w:val="24"/>
          <w:szCs w:val="24"/>
          <w:u w:val="single"/>
        </w:rPr>
        <w:t>Mkts</w:t>
      </w:r>
      <w:proofErr w:type="spellEnd"/>
      <w:r>
        <w:rPr>
          <w:rFonts w:ascii="Times New Roman"/>
          <w:sz w:val="24"/>
          <w:szCs w:val="24"/>
          <w:u w:val="single"/>
        </w:rPr>
        <w:t>., Inc.</w:t>
      </w:r>
      <w:r>
        <w:rPr>
          <w:rFonts w:ascii="Times New Roman"/>
          <w:sz w:val="24"/>
          <w:szCs w:val="24"/>
        </w:rPr>
        <w:t xml:space="preserve">, 428 Mass. 543, 549 (1998). Therefore, </w:t>
      </w:r>
      <w:r>
        <w:rPr>
          <w:rFonts w:ascii="Times New Roman"/>
          <w:sz w:val="24"/>
          <w:szCs w:val="24"/>
        </w:rPr>
        <w:lastRenderedPageBreak/>
        <w:t>Massachusetts limits issue prese</w:t>
      </w:r>
      <w:r>
        <w:rPr>
          <w:rFonts w:ascii="Times New Roman"/>
          <w:sz w:val="24"/>
          <w:szCs w:val="24"/>
        </w:rPr>
        <w:t>rvation as a requirement directed to individual parties when filing motions.</w:t>
      </w:r>
    </w:p>
    <w:p w:rsidR="00BF26C7" w:rsidRDefault="005C5E0B" w:rsidP="00286C50">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Notably, other jurisdictions do recognize situations when a motion from one party may preserve an issue for another party, largely because the particular motion is seen more simp</w:t>
      </w:r>
      <w:r>
        <w:rPr>
          <w:rFonts w:ascii="Times New Roman" w:eastAsia="Times New Roman" w:hAnsi="Times New Roman" w:cs="Times New Roman"/>
          <w:sz w:val="24"/>
          <w:szCs w:val="24"/>
        </w:rPr>
        <w:t xml:space="preserve">ly as a formality. </w:t>
      </w:r>
      <w:r>
        <w:rPr>
          <w:rFonts w:ascii="Times New Roman"/>
          <w:i/>
          <w:iCs/>
          <w:sz w:val="24"/>
          <w:szCs w:val="24"/>
        </w:rPr>
        <w:t xml:space="preserve">See </w:t>
      </w:r>
      <w:r>
        <w:rPr>
          <w:rFonts w:ascii="Times New Roman"/>
          <w:sz w:val="24"/>
          <w:szCs w:val="24"/>
          <w:u w:val="single"/>
        </w:rPr>
        <w:t>U.S. v. Love</w:t>
      </w:r>
      <w:r>
        <w:rPr>
          <w:rFonts w:ascii="Times New Roman"/>
          <w:sz w:val="24"/>
          <w:szCs w:val="24"/>
        </w:rPr>
        <w:t xml:space="preserve">, 472. F.2d 490, 496-498 (5th Cir. 1973); </w:t>
      </w:r>
      <w:r>
        <w:rPr>
          <w:rFonts w:ascii="Times New Roman"/>
          <w:i/>
          <w:iCs/>
          <w:sz w:val="24"/>
          <w:szCs w:val="24"/>
        </w:rPr>
        <w:t xml:space="preserve">see also </w:t>
      </w:r>
      <w:r>
        <w:rPr>
          <w:rFonts w:ascii="Times New Roman"/>
          <w:sz w:val="24"/>
          <w:szCs w:val="24"/>
          <w:u w:val="single"/>
        </w:rPr>
        <w:t xml:space="preserve">U.S. v. </w:t>
      </w:r>
      <w:proofErr w:type="spellStart"/>
      <w:r>
        <w:rPr>
          <w:rFonts w:ascii="Times New Roman"/>
          <w:sz w:val="24"/>
          <w:szCs w:val="24"/>
          <w:u w:val="single"/>
        </w:rPr>
        <w:t>Cassity</w:t>
      </w:r>
      <w:proofErr w:type="spellEnd"/>
      <w:r>
        <w:rPr>
          <w:rFonts w:ascii="Times New Roman"/>
          <w:sz w:val="24"/>
          <w:szCs w:val="24"/>
        </w:rPr>
        <w:t xml:space="preserve">, 631 F.2d 461, 464-466 (6th Cir. 1980) (noting that, if the motion to suppress was granted, the other co-defendants would have likely filed similar motions, and so the issue was not waived). For example, in </w:t>
      </w:r>
      <w:r>
        <w:rPr>
          <w:rFonts w:ascii="Times New Roman"/>
          <w:sz w:val="24"/>
          <w:szCs w:val="24"/>
          <w:u w:val="single"/>
        </w:rPr>
        <w:t>U.S. v. Love</w:t>
      </w:r>
      <w:r>
        <w:rPr>
          <w:rFonts w:ascii="Times New Roman"/>
          <w:sz w:val="24"/>
          <w:szCs w:val="24"/>
        </w:rPr>
        <w:t>, a defendant failed to move to supp</w:t>
      </w:r>
      <w:r>
        <w:rPr>
          <w:rFonts w:ascii="Times New Roman"/>
          <w:sz w:val="24"/>
          <w:szCs w:val="24"/>
        </w:rPr>
        <w:t xml:space="preserve">ress certain evidence during trial, although the co-defendant did file a motion to suppress the evidence. </w:t>
      </w:r>
      <w:proofErr w:type="gramStart"/>
      <w:r>
        <w:rPr>
          <w:rFonts w:ascii="Times New Roman"/>
          <w:sz w:val="24"/>
          <w:szCs w:val="24"/>
          <w:u w:val="single"/>
        </w:rPr>
        <w:t>U.S. v. Love</w:t>
      </w:r>
      <w:r>
        <w:rPr>
          <w:rFonts w:ascii="Times New Roman"/>
          <w:sz w:val="24"/>
          <w:szCs w:val="24"/>
        </w:rPr>
        <w:t xml:space="preserve"> at 496.</w:t>
      </w:r>
      <w:proofErr w:type="gramEnd"/>
      <w:r>
        <w:rPr>
          <w:rFonts w:ascii="Times New Roman"/>
          <w:sz w:val="24"/>
          <w:szCs w:val="24"/>
        </w:rPr>
        <w:t xml:space="preserve"> The Appeals Court excused the party</w:t>
      </w:r>
      <w:r>
        <w:rPr>
          <w:rFonts w:hAnsi="Times New Roman"/>
          <w:sz w:val="24"/>
          <w:szCs w:val="24"/>
        </w:rPr>
        <w:t>’</w:t>
      </w:r>
      <w:r>
        <w:rPr>
          <w:rFonts w:ascii="Times New Roman"/>
          <w:sz w:val="24"/>
          <w:szCs w:val="24"/>
        </w:rPr>
        <w:t xml:space="preserve">s failure to object or file a motion as a </w:t>
      </w:r>
      <w:r>
        <w:rPr>
          <w:rFonts w:hAnsi="Times New Roman"/>
          <w:sz w:val="24"/>
          <w:szCs w:val="24"/>
        </w:rPr>
        <w:t>“</w:t>
      </w:r>
      <w:r>
        <w:rPr>
          <w:rFonts w:ascii="Times New Roman"/>
          <w:sz w:val="24"/>
          <w:szCs w:val="24"/>
        </w:rPr>
        <w:t>useless formality</w:t>
      </w:r>
      <w:r>
        <w:rPr>
          <w:rFonts w:hAnsi="Times New Roman"/>
          <w:sz w:val="24"/>
          <w:szCs w:val="24"/>
        </w:rPr>
        <w:t>”</w:t>
      </w:r>
      <w:r>
        <w:rPr>
          <w:rFonts w:hAnsi="Times New Roman"/>
          <w:sz w:val="24"/>
          <w:szCs w:val="24"/>
        </w:rPr>
        <w:t xml:space="preserve"> </w:t>
      </w:r>
      <w:r>
        <w:rPr>
          <w:rFonts w:ascii="Times New Roman"/>
          <w:sz w:val="24"/>
          <w:szCs w:val="24"/>
        </w:rPr>
        <w:t xml:space="preserve">in the particular case. </w:t>
      </w:r>
      <w:r>
        <w:rPr>
          <w:rFonts w:ascii="Times New Roman"/>
          <w:i/>
          <w:iCs/>
          <w:sz w:val="24"/>
          <w:szCs w:val="24"/>
        </w:rPr>
        <w:t>Id.</w:t>
      </w:r>
      <w:r>
        <w:rPr>
          <w:rFonts w:ascii="Times New Roman"/>
          <w:sz w:val="24"/>
          <w:szCs w:val="24"/>
        </w:rPr>
        <w:t xml:space="preserve"> Whi</w:t>
      </w:r>
      <w:r>
        <w:rPr>
          <w:rFonts w:ascii="Times New Roman"/>
          <w:sz w:val="24"/>
          <w:szCs w:val="24"/>
        </w:rPr>
        <w:t>le the reasoning that a motion is a simple formality may not apply to issues of appeals before single justices, there may be circumstances in care and protection proceedings when the particular motion served as a formality and the issue was perhaps arguabl</w:t>
      </w:r>
      <w:r>
        <w:rPr>
          <w:rFonts w:ascii="Times New Roman"/>
          <w:sz w:val="24"/>
          <w:szCs w:val="24"/>
        </w:rPr>
        <w:t>y preserved for another party</w:t>
      </w:r>
      <w:r>
        <w:rPr>
          <w:rFonts w:hAnsi="Times New Roman"/>
          <w:sz w:val="24"/>
          <w:szCs w:val="24"/>
        </w:rPr>
        <w:t>’</w:t>
      </w:r>
      <w:r>
        <w:rPr>
          <w:rFonts w:ascii="Times New Roman"/>
          <w:sz w:val="24"/>
          <w:szCs w:val="24"/>
        </w:rPr>
        <w:t>s appeal. However, Massachusetts has not yet extended this principle to care and protection proceedings.</w:t>
      </w:r>
    </w:p>
    <w:p w:rsidR="00BF26C7" w:rsidRDefault="005C5E0B">
      <w:pPr>
        <w:pStyle w:val="Body"/>
        <w:spacing w:line="480" w:lineRule="auto"/>
        <w:jc w:val="center"/>
        <w:rPr>
          <w:rFonts w:ascii="Times New Roman" w:eastAsia="Times New Roman" w:hAnsi="Times New Roman" w:cs="Times New Roman"/>
          <w:b/>
          <w:bCs/>
          <w:sz w:val="24"/>
          <w:szCs w:val="24"/>
          <w:u w:val="single"/>
        </w:rPr>
      </w:pPr>
      <w:r>
        <w:rPr>
          <w:rFonts w:ascii="Times New Roman"/>
          <w:b/>
          <w:bCs/>
          <w:sz w:val="24"/>
          <w:szCs w:val="24"/>
          <w:u w:val="single"/>
        </w:rPr>
        <w:t>Conclusion</w:t>
      </w:r>
    </w:p>
    <w:p w:rsidR="00BF26C7" w:rsidRDefault="005C5E0B">
      <w:pPr>
        <w:pStyle w:val="Body"/>
        <w:spacing w:line="480" w:lineRule="auto"/>
      </w:pPr>
      <w:r>
        <w:rPr>
          <w:rFonts w:ascii="Times New Roman" w:eastAsia="Times New Roman" w:hAnsi="Times New Roman" w:cs="Times New Roman"/>
          <w:b/>
          <w:bCs/>
          <w:sz w:val="24"/>
          <w:szCs w:val="24"/>
        </w:rPr>
        <w:tab/>
      </w:r>
      <w:r>
        <w:rPr>
          <w:rFonts w:ascii="Times New Roman"/>
          <w:sz w:val="24"/>
          <w:szCs w:val="24"/>
        </w:rPr>
        <w:t>To successfully raise an issue on appeal in child welfare cases, the issue must generally be preserved at tr</w:t>
      </w:r>
      <w:r>
        <w:rPr>
          <w:rFonts w:ascii="Times New Roman"/>
          <w:sz w:val="24"/>
          <w:szCs w:val="24"/>
        </w:rPr>
        <w:t>ial. Massachusetts may recognize an issue as preserved when a party objects or a judge indicates that the issue is preserved. However, Massachusetts does limit the exceptions to issue preservation, and motions filed by other parties are insufficient to pre</w:t>
      </w:r>
      <w:r>
        <w:rPr>
          <w:rFonts w:ascii="Times New Roman"/>
          <w:sz w:val="24"/>
          <w:szCs w:val="24"/>
        </w:rPr>
        <w:t xml:space="preserve">serve an issue for a different appellant. </w:t>
      </w:r>
    </w:p>
    <w:sectPr w:rsidR="00BF26C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5E0B">
      <w:r>
        <w:separator/>
      </w:r>
    </w:p>
  </w:endnote>
  <w:endnote w:type="continuationSeparator" w:id="0">
    <w:p w:rsidR="00000000" w:rsidRDefault="005C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C7" w:rsidRDefault="005C5E0B">
    <w:pPr>
      <w:pStyle w:val="HeaderFooter"/>
      <w:tabs>
        <w:tab w:val="clear" w:pos="9020"/>
        <w:tab w:val="center" w:pos="4680"/>
        <w:tab w:val="right" w:pos="9360"/>
      </w:tabs>
    </w:pPr>
    <w:r>
      <w:rPr>
        <w:rFonts w:ascii="Times New Roman"/>
      </w:rPr>
      <w:tab/>
    </w:r>
    <w:r>
      <w:rPr>
        <w:rFonts w:ascii="Times New Roman"/>
      </w:rPr>
      <w:tab/>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noProof/>
      </w:rPr>
      <w:t>6</w:t>
    </w:r>
    <w:r>
      <w:rPr>
        <w:rFonts w:asci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6C7" w:rsidRDefault="005C5E0B">
      <w:r>
        <w:separator/>
      </w:r>
    </w:p>
  </w:footnote>
  <w:footnote w:type="continuationSeparator" w:id="0">
    <w:p w:rsidR="00BF26C7" w:rsidRDefault="005C5E0B">
      <w:r>
        <w:continuationSeparator/>
      </w:r>
    </w:p>
  </w:footnote>
  <w:footnote w:type="continuationNotice" w:id="1">
    <w:p w:rsidR="00BF26C7" w:rsidRDefault="00BF26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C7" w:rsidRDefault="00BF26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BF26C7"/>
    <w:rsid w:val="0003251D"/>
    <w:rsid w:val="00286C50"/>
    <w:rsid w:val="005C5E0B"/>
    <w:rsid w:val="008A71C9"/>
    <w:rsid w:val="008C09C4"/>
    <w:rsid w:val="00BF26C7"/>
    <w:rsid w:val="00CA3125"/>
    <w:rsid w:val="00E823D0"/>
    <w:rsid w:val="00EA04B9"/>
    <w:rsid w:val="00F7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Prince</dc:creator>
  <cp:lastModifiedBy>Jaime Prince</cp:lastModifiedBy>
  <cp:revision>3</cp:revision>
  <dcterms:created xsi:type="dcterms:W3CDTF">2015-12-03T15:10:00Z</dcterms:created>
  <dcterms:modified xsi:type="dcterms:W3CDTF">2015-12-03T15:21:00Z</dcterms:modified>
</cp:coreProperties>
</file>