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D02F6" w14:textId="77777777" w:rsidR="00291A2E" w:rsidRPr="00291A2E" w:rsidRDefault="00291A2E" w:rsidP="00291A2E">
      <w:pPr>
        <w:jc w:val="center"/>
        <w:rPr>
          <w:b/>
          <w:i/>
          <w:sz w:val="24"/>
          <w:szCs w:val="24"/>
        </w:rPr>
      </w:pPr>
      <w:r w:rsidRPr="00291A2E">
        <w:rPr>
          <w:b/>
          <w:i/>
          <w:sz w:val="24"/>
          <w:szCs w:val="24"/>
        </w:rPr>
        <w:t>[Please note:  This is a memorandum by a law student intern.  It is intended to jump-start your own research.  We have not Shepardized the cases or determined that the student’s analysis of the cases or other sources is correct.]</w:t>
      </w:r>
    </w:p>
    <w:p w14:paraId="119BA887" w14:textId="77777777" w:rsidR="00291A2E" w:rsidRDefault="00291A2E" w:rsidP="00AB3A7E">
      <w:pPr>
        <w:spacing w:after="0" w:line="240" w:lineRule="auto"/>
        <w:jc w:val="center"/>
        <w:rPr>
          <w:rFonts w:ascii="Times New Roman" w:hAnsi="Times New Roman" w:cs="Times New Roman"/>
          <w:b/>
          <w:sz w:val="24"/>
          <w:szCs w:val="24"/>
        </w:rPr>
      </w:pPr>
    </w:p>
    <w:p w14:paraId="465D7AA0" w14:textId="77777777" w:rsidR="003F11B8" w:rsidRDefault="003F11B8" w:rsidP="00AB3A7E">
      <w:pPr>
        <w:spacing w:after="0" w:line="240" w:lineRule="auto"/>
        <w:jc w:val="center"/>
        <w:rPr>
          <w:rFonts w:ascii="Times New Roman" w:hAnsi="Times New Roman" w:cs="Times New Roman"/>
          <w:b/>
          <w:sz w:val="24"/>
          <w:szCs w:val="24"/>
        </w:rPr>
      </w:pPr>
      <w:r w:rsidRPr="00A75B79">
        <w:rPr>
          <w:rFonts w:ascii="Times New Roman" w:hAnsi="Times New Roman" w:cs="Times New Roman"/>
          <w:b/>
          <w:sz w:val="24"/>
          <w:szCs w:val="24"/>
        </w:rPr>
        <w:t>MEMORANDUM</w:t>
      </w:r>
    </w:p>
    <w:p w14:paraId="1CA7186A" w14:textId="77777777" w:rsidR="00AB3A7E" w:rsidRPr="00A75B79" w:rsidRDefault="00AB3A7E" w:rsidP="00AB3A7E">
      <w:pPr>
        <w:spacing w:after="0" w:line="240" w:lineRule="auto"/>
        <w:jc w:val="center"/>
        <w:rPr>
          <w:rFonts w:ascii="Times New Roman" w:hAnsi="Times New Roman" w:cs="Times New Roman"/>
          <w:b/>
          <w:sz w:val="24"/>
          <w:szCs w:val="24"/>
        </w:rPr>
      </w:pPr>
    </w:p>
    <w:p w14:paraId="0B3628BD" w14:textId="5183C383" w:rsidR="003F11B8" w:rsidRPr="00A75B79" w:rsidRDefault="003F11B8" w:rsidP="00AB3A7E">
      <w:pPr>
        <w:pStyle w:val="Normal1"/>
        <w:rPr>
          <w:color w:val="auto"/>
          <w:szCs w:val="24"/>
        </w:rPr>
      </w:pPr>
      <w:r w:rsidRPr="00A75B79">
        <w:rPr>
          <w:color w:val="auto"/>
          <w:szCs w:val="24"/>
        </w:rPr>
        <w:t>To:</w:t>
      </w:r>
      <w:r w:rsidRPr="00A75B79">
        <w:rPr>
          <w:color w:val="auto"/>
          <w:szCs w:val="24"/>
        </w:rPr>
        <w:tab/>
      </w:r>
      <w:r w:rsidR="004F122E">
        <w:rPr>
          <w:color w:val="auto"/>
          <w:szCs w:val="24"/>
        </w:rPr>
        <w:t>CAFL Appellate Panel Support Unit</w:t>
      </w:r>
      <w:bookmarkStart w:id="0" w:name="_GoBack"/>
      <w:bookmarkEnd w:id="0"/>
    </w:p>
    <w:p w14:paraId="37C5A19E" w14:textId="7F5ED454" w:rsidR="003F11B8" w:rsidRPr="00A75B79" w:rsidRDefault="003F11B8" w:rsidP="00AB3A7E">
      <w:pPr>
        <w:spacing w:after="0" w:line="240" w:lineRule="auto"/>
        <w:rPr>
          <w:rFonts w:ascii="Times New Roman" w:hAnsi="Times New Roman" w:cs="Times New Roman"/>
          <w:sz w:val="24"/>
          <w:szCs w:val="24"/>
        </w:rPr>
      </w:pPr>
      <w:r w:rsidRPr="00A75B79">
        <w:rPr>
          <w:rFonts w:ascii="Times New Roman" w:hAnsi="Times New Roman" w:cs="Times New Roman"/>
          <w:sz w:val="24"/>
          <w:szCs w:val="24"/>
        </w:rPr>
        <w:t xml:space="preserve">From: </w:t>
      </w:r>
      <w:r w:rsidRPr="00A75B79">
        <w:rPr>
          <w:rFonts w:ascii="Times New Roman" w:hAnsi="Times New Roman" w:cs="Times New Roman"/>
          <w:sz w:val="24"/>
          <w:szCs w:val="24"/>
        </w:rPr>
        <w:tab/>
      </w:r>
      <w:r w:rsidR="00B700BE">
        <w:rPr>
          <w:rFonts w:ascii="Times New Roman" w:hAnsi="Times New Roman" w:cs="Times New Roman"/>
          <w:sz w:val="24"/>
          <w:szCs w:val="24"/>
        </w:rPr>
        <w:t>[Law student intern – NE]</w:t>
      </w:r>
    </w:p>
    <w:p w14:paraId="33D604C3" w14:textId="7404A8E0" w:rsidR="003F11B8" w:rsidRPr="00A75B79" w:rsidRDefault="003F11B8" w:rsidP="003F11B8">
      <w:pPr>
        <w:spacing w:after="0"/>
        <w:rPr>
          <w:rFonts w:ascii="Times New Roman" w:hAnsi="Times New Roman" w:cs="Times New Roman"/>
          <w:sz w:val="24"/>
          <w:szCs w:val="24"/>
        </w:rPr>
      </w:pPr>
      <w:r w:rsidRPr="00A75B79">
        <w:rPr>
          <w:rFonts w:ascii="Times New Roman" w:hAnsi="Times New Roman" w:cs="Times New Roman"/>
          <w:sz w:val="24"/>
          <w:szCs w:val="24"/>
        </w:rPr>
        <w:t xml:space="preserve">Date: </w:t>
      </w:r>
      <w:r w:rsidRPr="00A75B79">
        <w:rPr>
          <w:rFonts w:ascii="Times New Roman" w:hAnsi="Times New Roman" w:cs="Times New Roman"/>
          <w:sz w:val="24"/>
          <w:szCs w:val="24"/>
        </w:rPr>
        <w:tab/>
      </w:r>
      <w:r>
        <w:rPr>
          <w:rFonts w:ascii="Times New Roman" w:hAnsi="Times New Roman" w:cs="Times New Roman"/>
          <w:sz w:val="24"/>
          <w:szCs w:val="24"/>
        </w:rPr>
        <w:t>December 1</w:t>
      </w:r>
      <w:r w:rsidR="00B700BE">
        <w:rPr>
          <w:rFonts w:ascii="Times New Roman" w:hAnsi="Times New Roman" w:cs="Times New Roman"/>
          <w:sz w:val="24"/>
          <w:szCs w:val="24"/>
        </w:rPr>
        <w:t>0</w:t>
      </w:r>
      <w:r w:rsidRPr="00A75B79">
        <w:rPr>
          <w:rFonts w:ascii="Times New Roman" w:hAnsi="Times New Roman" w:cs="Times New Roman"/>
          <w:sz w:val="24"/>
          <w:szCs w:val="24"/>
        </w:rPr>
        <w:t>, 2018</w:t>
      </w:r>
    </w:p>
    <w:p w14:paraId="348188EE" w14:textId="71CF9E12" w:rsidR="003F11B8" w:rsidRPr="00A75B79" w:rsidRDefault="003F11B8" w:rsidP="003F11B8">
      <w:pPr>
        <w:spacing w:after="0"/>
        <w:ind w:left="720" w:hanging="720"/>
        <w:rPr>
          <w:rFonts w:ascii="Times New Roman" w:hAnsi="Times New Roman" w:cs="Times New Roman"/>
          <w:sz w:val="24"/>
          <w:szCs w:val="24"/>
        </w:rPr>
      </w:pPr>
      <w:r w:rsidRPr="00A75B79">
        <w:rPr>
          <w:rFonts w:ascii="Times New Roman" w:hAnsi="Times New Roman" w:cs="Times New Roman"/>
          <w:sz w:val="24"/>
          <w:szCs w:val="24"/>
        </w:rPr>
        <w:t>Re:</w:t>
      </w:r>
      <w:r w:rsidRPr="00A75B79">
        <w:rPr>
          <w:rFonts w:ascii="Times New Roman" w:hAnsi="Times New Roman" w:cs="Times New Roman"/>
          <w:sz w:val="24"/>
          <w:szCs w:val="24"/>
        </w:rPr>
        <w:tab/>
      </w:r>
      <w:r>
        <w:rPr>
          <w:rFonts w:ascii="Times New Roman" w:hAnsi="Times New Roman" w:cs="Times New Roman"/>
          <w:sz w:val="24"/>
          <w:szCs w:val="24"/>
        </w:rPr>
        <w:t xml:space="preserve">Due Process </w:t>
      </w:r>
      <w:r w:rsidR="008F703B">
        <w:rPr>
          <w:rFonts w:ascii="Times New Roman" w:hAnsi="Times New Roman" w:cs="Times New Roman"/>
          <w:sz w:val="24"/>
          <w:szCs w:val="24"/>
        </w:rPr>
        <w:t>–</w:t>
      </w:r>
      <w:r>
        <w:rPr>
          <w:rFonts w:ascii="Times New Roman" w:hAnsi="Times New Roman" w:cs="Times New Roman"/>
          <w:sz w:val="24"/>
          <w:szCs w:val="24"/>
        </w:rPr>
        <w:t xml:space="preserve"> </w:t>
      </w:r>
      <w:r w:rsidR="008F703B">
        <w:rPr>
          <w:rFonts w:ascii="Times New Roman" w:hAnsi="Times New Roman" w:cs="Times New Roman"/>
          <w:sz w:val="24"/>
          <w:szCs w:val="24"/>
        </w:rPr>
        <w:t xml:space="preserve">adequate notice </w:t>
      </w:r>
      <w:r w:rsidR="001E6348">
        <w:rPr>
          <w:rFonts w:ascii="Times New Roman" w:hAnsi="Times New Roman" w:cs="Times New Roman"/>
          <w:sz w:val="24"/>
          <w:szCs w:val="24"/>
        </w:rPr>
        <w:t>of DCF’s unfitness allegations</w:t>
      </w:r>
      <w:r w:rsidR="00B700BE">
        <w:rPr>
          <w:rFonts w:ascii="Times New Roman" w:hAnsi="Times New Roman" w:cs="Times New Roman"/>
          <w:sz w:val="24"/>
          <w:szCs w:val="24"/>
        </w:rPr>
        <w:t xml:space="preserve"> (need for specific allegations of unfitness)</w:t>
      </w:r>
      <w:r w:rsidR="008F703B">
        <w:rPr>
          <w:rFonts w:ascii="Times New Roman" w:hAnsi="Times New Roman" w:cs="Times New Roman"/>
          <w:sz w:val="24"/>
          <w:szCs w:val="24"/>
        </w:rPr>
        <w:t xml:space="preserve"> </w:t>
      </w:r>
    </w:p>
    <w:p w14:paraId="686ECF00" w14:textId="77777777" w:rsidR="003F11B8" w:rsidRPr="00A75B79" w:rsidRDefault="003F11B8" w:rsidP="003F11B8">
      <w:pPr>
        <w:pBdr>
          <w:bottom w:val="single" w:sz="12" w:space="1" w:color="auto"/>
        </w:pBdr>
        <w:rPr>
          <w:rFonts w:ascii="Times New Roman" w:hAnsi="Times New Roman" w:cs="Times New Roman"/>
          <w:sz w:val="24"/>
          <w:szCs w:val="24"/>
        </w:rPr>
      </w:pPr>
    </w:p>
    <w:p w14:paraId="1FFF4C1B" w14:textId="309CFD32" w:rsidR="000B3FBE" w:rsidRDefault="000B3FBE" w:rsidP="00B700BE">
      <w:pPr>
        <w:spacing w:after="0" w:line="480" w:lineRule="auto"/>
        <w:jc w:val="center"/>
        <w:rPr>
          <w:rFonts w:ascii="Times New Roman" w:hAnsi="Times New Roman" w:cs="Times New Roman"/>
          <w:b/>
          <w:sz w:val="24"/>
          <w:szCs w:val="24"/>
        </w:rPr>
      </w:pPr>
      <w:r w:rsidRPr="00AE71E4">
        <w:rPr>
          <w:rFonts w:ascii="Times New Roman" w:hAnsi="Times New Roman" w:cs="Times New Roman"/>
          <w:b/>
          <w:sz w:val="24"/>
          <w:szCs w:val="24"/>
        </w:rPr>
        <w:t>QUESTION</w:t>
      </w:r>
      <w:r w:rsidR="0049510A">
        <w:rPr>
          <w:rFonts w:ascii="Times New Roman" w:hAnsi="Times New Roman" w:cs="Times New Roman"/>
          <w:b/>
          <w:sz w:val="24"/>
          <w:szCs w:val="24"/>
        </w:rPr>
        <w:t>S</w:t>
      </w:r>
      <w:r w:rsidR="00390611">
        <w:rPr>
          <w:rFonts w:ascii="Times New Roman" w:hAnsi="Times New Roman" w:cs="Times New Roman"/>
          <w:b/>
          <w:sz w:val="24"/>
          <w:szCs w:val="24"/>
        </w:rPr>
        <w:t xml:space="preserve"> </w:t>
      </w:r>
      <w:r w:rsidRPr="00AE71E4">
        <w:rPr>
          <w:rFonts w:ascii="Times New Roman" w:hAnsi="Times New Roman" w:cs="Times New Roman"/>
          <w:b/>
          <w:sz w:val="24"/>
          <w:szCs w:val="24"/>
        </w:rPr>
        <w:t>PRESENTED</w:t>
      </w:r>
    </w:p>
    <w:p w14:paraId="7B096734" w14:textId="19EB9B54" w:rsidR="001E6348" w:rsidRDefault="001E6348" w:rsidP="00B700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DCF often alleges many problematic behaviors in its initial </w:t>
      </w:r>
      <w:r w:rsidR="00AB3A7E">
        <w:rPr>
          <w:rFonts w:ascii="Times New Roman" w:hAnsi="Times New Roman" w:cs="Times New Roman"/>
          <w:sz w:val="24"/>
          <w:szCs w:val="24"/>
        </w:rPr>
        <w:t xml:space="preserve">G.L. c. 119, § 24 </w:t>
      </w:r>
      <w:r>
        <w:rPr>
          <w:rFonts w:ascii="Times New Roman" w:hAnsi="Times New Roman" w:cs="Times New Roman"/>
          <w:sz w:val="24"/>
          <w:szCs w:val="24"/>
        </w:rPr>
        <w:t xml:space="preserve">care and protection affidavit/petition against parents.  Then, at trial, DCF throws everything it has against the parent, regardless of what it alleged a year or </w:t>
      </w:r>
      <w:r w:rsidR="00AB3A7E">
        <w:rPr>
          <w:rFonts w:ascii="Times New Roman" w:hAnsi="Times New Roman" w:cs="Times New Roman"/>
          <w:sz w:val="24"/>
          <w:szCs w:val="24"/>
        </w:rPr>
        <w:t>so</w:t>
      </w:r>
      <w:r>
        <w:rPr>
          <w:rFonts w:ascii="Times New Roman" w:hAnsi="Times New Roman" w:cs="Times New Roman"/>
          <w:sz w:val="24"/>
          <w:szCs w:val="24"/>
        </w:rPr>
        <w:t xml:space="preserve"> earlier at the petition stage, hoping that something sticks.  Often, DCF’s primary challenge to a parent’s fitness at trial has little to do with what it initially alleged.  Indeed, sometimes it isn’t clear why a judge found a parent unfit until many months after trial, when the judge issue</w:t>
      </w:r>
      <w:r w:rsidR="00321B83">
        <w:rPr>
          <w:rFonts w:ascii="Times New Roman" w:hAnsi="Times New Roman" w:cs="Times New Roman"/>
          <w:sz w:val="24"/>
          <w:szCs w:val="24"/>
        </w:rPr>
        <w:t>d</w:t>
      </w:r>
      <w:r>
        <w:rPr>
          <w:rFonts w:ascii="Times New Roman" w:hAnsi="Times New Roman" w:cs="Times New Roman"/>
          <w:sz w:val="24"/>
          <w:szCs w:val="24"/>
        </w:rPr>
        <w:t xml:space="preserve"> her findings</w:t>
      </w:r>
      <w:r w:rsidR="00AB3A7E">
        <w:rPr>
          <w:rFonts w:ascii="Times New Roman" w:hAnsi="Times New Roman" w:cs="Times New Roman"/>
          <w:sz w:val="24"/>
          <w:szCs w:val="24"/>
        </w:rPr>
        <w:t>; the judge’s findings may reflect a determination that a parent is unfit on a ground that even DCF thought to be baseless</w:t>
      </w:r>
      <w:r>
        <w:rPr>
          <w:rFonts w:ascii="Times New Roman" w:hAnsi="Times New Roman" w:cs="Times New Roman"/>
          <w:sz w:val="24"/>
          <w:szCs w:val="24"/>
        </w:rPr>
        <w:t>.  Unfitness is, therefore, a moving target at trial; sometimes it’s only a targe</w:t>
      </w:r>
      <w:r w:rsidR="00321B83">
        <w:rPr>
          <w:rFonts w:ascii="Times New Roman" w:hAnsi="Times New Roman" w:cs="Times New Roman"/>
          <w:sz w:val="24"/>
          <w:szCs w:val="24"/>
        </w:rPr>
        <w:t xml:space="preserve">t in hindsight.  </w:t>
      </w:r>
    </w:p>
    <w:p w14:paraId="2257A952" w14:textId="24DADC79" w:rsidR="0049510A" w:rsidRDefault="0049510A" w:rsidP="00B700BE">
      <w:pPr>
        <w:spacing w:after="0" w:line="480" w:lineRule="auto"/>
        <w:ind w:firstLine="720"/>
        <w:rPr>
          <w:rFonts w:ascii="Times New Roman" w:hAnsi="Times New Roman" w:cs="Times New Roman"/>
          <w:sz w:val="24"/>
          <w:szCs w:val="24"/>
        </w:rPr>
      </w:pPr>
      <w:r w:rsidRPr="0049510A">
        <w:rPr>
          <w:rFonts w:ascii="Times New Roman" w:hAnsi="Times New Roman" w:cs="Times New Roman"/>
          <w:sz w:val="24"/>
          <w:szCs w:val="24"/>
          <w:u w:val="single"/>
        </w:rPr>
        <w:t>G.L. c. 119, §§ 24, 26</w:t>
      </w:r>
      <w:r>
        <w:rPr>
          <w:rFonts w:ascii="Times New Roman" w:hAnsi="Times New Roman" w:cs="Times New Roman"/>
          <w:sz w:val="24"/>
          <w:szCs w:val="24"/>
        </w:rPr>
        <w:t xml:space="preserve">.  Do parents have a statutory argument that trial must </w:t>
      </w:r>
      <w:r w:rsidR="00AB3A7E">
        <w:rPr>
          <w:rFonts w:ascii="Times New Roman" w:hAnsi="Times New Roman" w:cs="Times New Roman"/>
          <w:sz w:val="24"/>
          <w:szCs w:val="24"/>
        </w:rPr>
        <w:t>focus exclusively</w:t>
      </w:r>
      <w:r>
        <w:rPr>
          <w:rFonts w:ascii="Times New Roman" w:hAnsi="Times New Roman" w:cs="Times New Roman"/>
          <w:sz w:val="24"/>
          <w:szCs w:val="24"/>
        </w:rPr>
        <w:t xml:space="preserve"> on DCF’s initial allegations – not on everything DCF </w:t>
      </w:r>
      <w:r w:rsidRPr="0049510A">
        <w:rPr>
          <w:rFonts w:ascii="Times New Roman" w:hAnsi="Times New Roman" w:cs="Times New Roman"/>
          <w:i/>
          <w:sz w:val="24"/>
          <w:szCs w:val="24"/>
        </w:rPr>
        <w:t>wants</w:t>
      </w:r>
      <w:r>
        <w:rPr>
          <w:rFonts w:ascii="Times New Roman" w:hAnsi="Times New Roman" w:cs="Times New Roman"/>
          <w:sz w:val="24"/>
          <w:szCs w:val="24"/>
        </w:rPr>
        <w:t xml:space="preserve"> to allege – or that DCF must</w:t>
      </w:r>
      <w:r w:rsidR="00AB3A7E">
        <w:rPr>
          <w:rFonts w:ascii="Times New Roman" w:hAnsi="Times New Roman" w:cs="Times New Roman"/>
          <w:sz w:val="24"/>
          <w:szCs w:val="24"/>
        </w:rPr>
        <w:t>, at least,</w:t>
      </w:r>
      <w:r>
        <w:rPr>
          <w:rFonts w:ascii="Times New Roman" w:hAnsi="Times New Roman" w:cs="Times New Roman"/>
          <w:sz w:val="24"/>
          <w:szCs w:val="24"/>
        </w:rPr>
        <w:t xml:space="preserve"> amend its petition prior to trial to give parents a meaningful opportunity to rebut those allegations?</w:t>
      </w:r>
    </w:p>
    <w:p w14:paraId="22BDB7D0" w14:textId="77777777" w:rsidR="00AB3A7E" w:rsidRDefault="0049510A" w:rsidP="00B700BE">
      <w:pPr>
        <w:spacing w:after="0" w:line="480" w:lineRule="auto"/>
        <w:ind w:firstLine="720"/>
        <w:rPr>
          <w:rFonts w:ascii="Times New Roman" w:hAnsi="Times New Roman" w:cs="Times New Roman"/>
          <w:sz w:val="24"/>
          <w:szCs w:val="24"/>
        </w:rPr>
      </w:pPr>
      <w:r w:rsidRPr="0049510A">
        <w:rPr>
          <w:rFonts w:ascii="Times New Roman" w:hAnsi="Times New Roman" w:cs="Times New Roman"/>
          <w:sz w:val="24"/>
          <w:szCs w:val="24"/>
          <w:u w:val="single"/>
        </w:rPr>
        <w:t>Due Process</w:t>
      </w:r>
      <w:r>
        <w:rPr>
          <w:rFonts w:ascii="Times New Roman" w:hAnsi="Times New Roman" w:cs="Times New Roman"/>
          <w:sz w:val="24"/>
          <w:szCs w:val="24"/>
        </w:rPr>
        <w:t xml:space="preserve">.  Parents have procedural due process rights to notice, to be heard at a meaningful time and in a meaningful manner, and to rebut the state’s adverse allegations about their parenting.  It is very difficult to rebut a moving target, and it is impossible to rebut unfitness </w:t>
      </w:r>
      <w:r>
        <w:rPr>
          <w:rFonts w:ascii="Times New Roman" w:hAnsi="Times New Roman" w:cs="Times New Roman"/>
          <w:sz w:val="24"/>
          <w:szCs w:val="24"/>
        </w:rPr>
        <w:lastRenderedPageBreak/>
        <w:t xml:space="preserve">allegations in hindsight.  </w:t>
      </w:r>
      <w:r w:rsidR="001E6348">
        <w:rPr>
          <w:rFonts w:ascii="Times New Roman" w:hAnsi="Times New Roman" w:cs="Times New Roman"/>
          <w:sz w:val="24"/>
          <w:szCs w:val="24"/>
        </w:rPr>
        <w:t>Does due process require that DCF state its allegations with particularity before trial</w:t>
      </w:r>
      <w:r w:rsidR="00321B83">
        <w:rPr>
          <w:rFonts w:ascii="Times New Roman" w:hAnsi="Times New Roman" w:cs="Times New Roman"/>
          <w:sz w:val="24"/>
          <w:szCs w:val="24"/>
        </w:rPr>
        <w:t xml:space="preserve"> so that parents have a reasonable opportunity to rebut them?  And does due process therefore require that DCF be limited to proving those allegations at trial (instead of throwing other allegations against the wall and seeing what sticks)?  </w:t>
      </w:r>
      <w:r w:rsidR="001E6348">
        <w:rPr>
          <w:rFonts w:ascii="Times New Roman" w:hAnsi="Times New Roman" w:cs="Times New Roman"/>
          <w:sz w:val="24"/>
          <w:szCs w:val="24"/>
        </w:rPr>
        <w:t xml:space="preserve"> </w:t>
      </w:r>
    </w:p>
    <w:p w14:paraId="6AFA771D" w14:textId="7E713B9D" w:rsidR="00336578" w:rsidRDefault="00AB3A7E" w:rsidP="00B700BE">
      <w:pPr>
        <w:spacing w:after="0" w:line="480" w:lineRule="auto"/>
        <w:ind w:firstLine="720"/>
        <w:rPr>
          <w:rFonts w:ascii="Times New Roman" w:hAnsi="Times New Roman" w:cs="Times New Roman"/>
          <w:sz w:val="24"/>
          <w:szCs w:val="24"/>
        </w:rPr>
      </w:pPr>
      <w:r w:rsidRPr="00AB3A7E">
        <w:rPr>
          <w:rFonts w:ascii="Times New Roman" w:hAnsi="Times New Roman" w:cs="Times New Roman"/>
          <w:sz w:val="24"/>
          <w:szCs w:val="24"/>
          <w:u w:val="single"/>
        </w:rPr>
        <w:t>Preservation</w:t>
      </w:r>
      <w:r>
        <w:rPr>
          <w:rFonts w:ascii="Times New Roman" w:hAnsi="Times New Roman" w:cs="Times New Roman"/>
          <w:sz w:val="24"/>
          <w:szCs w:val="24"/>
        </w:rPr>
        <w:t>.  I</w:t>
      </w:r>
      <w:r w:rsidR="00321B83">
        <w:rPr>
          <w:rFonts w:ascii="Times New Roman" w:hAnsi="Times New Roman" w:cs="Times New Roman"/>
          <w:sz w:val="24"/>
          <w:szCs w:val="24"/>
        </w:rPr>
        <w:t>f DCF alleges one basis of unfitness before trial (with enough time for the parent to prepare) but presents evidence at trial regarding an unrelated basis, what should a parent do in order to preserve the issue for appeal?</w:t>
      </w:r>
    </w:p>
    <w:p w14:paraId="50D862A6" w14:textId="71ADAE7D" w:rsidR="000B3FBE" w:rsidRDefault="00B84D3F" w:rsidP="00B700BE">
      <w:pPr>
        <w:spacing w:after="0" w:line="480" w:lineRule="auto"/>
        <w:jc w:val="center"/>
        <w:rPr>
          <w:rFonts w:ascii="Times New Roman" w:hAnsi="Times New Roman" w:cs="Times New Roman"/>
          <w:b/>
          <w:sz w:val="24"/>
          <w:szCs w:val="24"/>
        </w:rPr>
      </w:pPr>
      <w:r w:rsidRPr="00AE71E4">
        <w:rPr>
          <w:rFonts w:ascii="Times New Roman" w:hAnsi="Times New Roman" w:cs="Times New Roman"/>
          <w:b/>
          <w:sz w:val="24"/>
          <w:szCs w:val="24"/>
        </w:rPr>
        <w:t>BRIEF ANSWER</w:t>
      </w:r>
      <w:r w:rsidR="0049510A">
        <w:rPr>
          <w:rFonts w:ascii="Times New Roman" w:hAnsi="Times New Roman" w:cs="Times New Roman"/>
          <w:b/>
          <w:sz w:val="24"/>
          <w:szCs w:val="24"/>
        </w:rPr>
        <w:t>S</w:t>
      </w:r>
    </w:p>
    <w:p w14:paraId="2F0BEF71" w14:textId="139E77E7" w:rsidR="0049510A" w:rsidRDefault="0049510A" w:rsidP="00B700BE">
      <w:pPr>
        <w:spacing w:after="0" w:line="480" w:lineRule="auto"/>
        <w:ind w:firstLine="720"/>
        <w:rPr>
          <w:rFonts w:ascii="Times New Roman" w:hAnsi="Times New Roman" w:cs="Times New Roman"/>
          <w:sz w:val="24"/>
          <w:szCs w:val="24"/>
        </w:rPr>
      </w:pPr>
      <w:r w:rsidRPr="0049510A">
        <w:rPr>
          <w:rFonts w:ascii="Times New Roman" w:hAnsi="Times New Roman" w:cs="Times New Roman"/>
          <w:sz w:val="24"/>
          <w:szCs w:val="24"/>
          <w:u w:val="single"/>
        </w:rPr>
        <w:t>Statutory Basis</w:t>
      </w:r>
      <w:r>
        <w:rPr>
          <w:rFonts w:ascii="Times New Roman" w:hAnsi="Times New Roman" w:cs="Times New Roman"/>
          <w:sz w:val="24"/>
          <w:szCs w:val="24"/>
        </w:rPr>
        <w:t>.  Parents have a statutory argument for limiting DCF to the allegations in its initial petition or in an amended petition.   Section 26(b) of chapter 119 provides that, “[i]f the court finds the allegations in the petition proved within the meaning of this chapter, it may adjudge that the child is need of care and protection.”  That section permits DCF to amend its petition by motion, although the amendment language suggests that amendment is proper in order to enable DCF to seek termination.</w:t>
      </w:r>
    </w:p>
    <w:p w14:paraId="6FE84529" w14:textId="77777777" w:rsidR="00AB3A7E" w:rsidRDefault="0049510A" w:rsidP="00B700BE">
      <w:pPr>
        <w:spacing w:after="0" w:line="480" w:lineRule="auto"/>
        <w:ind w:firstLine="720"/>
        <w:rPr>
          <w:rFonts w:ascii="Times New Roman" w:hAnsi="Times New Roman" w:cs="Times New Roman"/>
          <w:sz w:val="24"/>
          <w:szCs w:val="24"/>
        </w:rPr>
      </w:pPr>
      <w:r w:rsidRPr="0049510A">
        <w:rPr>
          <w:rFonts w:ascii="Times New Roman" w:hAnsi="Times New Roman" w:cs="Times New Roman"/>
          <w:sz w:val="24"/>
          <w:szCs w:val="24"/>
          <w:u w:val="single"/>
        </w:rPr>
        <w:t>Due Process</w:t>
      </w:r>
      <w:r>
        <w:rPr>
          <w:rFonts w:ascii="Times New Roman" w:hAnsi="Times New Roman" w:cs="Times New Roman"/>
          <w:sz w:val="24"/>
          <w:szCs w:val="24"/>
        </w:rPr>
        <w:t xml:space="preserve">.  </w:t>
      </w:r>
      <w:r w:rsidR="00AA17DF" w:rsidRPr="00C43C4A">
        <w:rPr>
          <w:rFonts w:ascii="Times New Roman" w:hAnsi="Times New Roman" w:cs="Times New Roman"/>
          <w:sz w:val="24"/>
          <w:szCs w:val="24"/>
        </w:rPr>
        <w:t xml:space="preserve">Due Process requires that </w:t>
      </w:r>
      <w:r w:rsidR="00565954" w:rsidRPr="00C43C4A">
        <w:rPr>
          <w:rFonts w:ascii="Times New Roman" w:hAnsi="Times New Roman" w:cs="Times New Roman"/>
          <w:sz w:val="24"/>
          <w:szCs w:val="24"/>
        </w:rPr>
        <w:t xml:space="preserve">the state provide adequate notice </w:t>
      </w:r>
      <w:r w:rsidR="00321B83">
        <w:rPr>
          <w:rFonts w:ascii="Times New Roman" w:hAnsi="Times New Roman" w:cs="Times New Roman"/>
          <w:sz w:val="24"/>
          <w:szCs w:val="24"/>
        </w:rPr>
        <w:t xml:space="preserve">of its allegations of unfitness </w:t>
      </w:r>
      <w:r w:rsidR="00565954" w:rsidRPr="00C43C4A">
        <w:rPr>
          <w:rFonts w:ascii="Times New Roman" w:hAnsi="Times New Roman" w:cs="Times New Roman"/>
          <w:sz w:val="24"/>
          <w:szCs w:val="24"/>
        </w:rPr>
        <w:t xml:space="preserve">such that the parents </w:t>
      </w:r>
      <w:r w:rsidR="00321B83">
        <w:rPr>
          <w:rFonts w:ascii="Times New Roman" w:hAnsi="Times New Roman" w:cs="Times New Roman"/>
          <w:sz w:val="24"/>
          <w:szCs w:val="24"/>
        </w:rPr>
        <w:t xml:space="preserve">have a reasonable opportunity to rebut those allegations.  Where an unfitness trial focuses </w:t>
      </w:r>
      <w:r w:rsidR="00885002">
        <w:rPr>
          <w:rFonts w:ascii="Times New Roman" w:hAnsi="Times New Roman" w:cs="Times New Roman"/>
          <w:sz w:val="24"/>
          <w:szCs w:val="24"/>
        </w:rPr>
        <w:t>on</w:t>
      </w:r>
      <w:r w:rsidR="00FF6381">
        <w:rPr>
          <w:rFonts w:ascii="Times New Roman" w:hAnsi="Times New Roman" w:cs="Times New Roman"/>
          <w:sz w:val="24"/>
          <w:szCs w:val="24"/>
        </w:rPr>
        <w:t xml:space="preserve"> </w:t>
      </w:r>
      <w:r w:rsidR="00321B83">
        <w:rPr>
          <w:rFonts w:ascii="Times New Roman" w:hAnsi="Times New Roman" w:cs="Times New Roman"/>
          <w:sz w:val="24"/>
          <w:szCs w:val="24"/>
        </w:rPr>
        <w:t>issues not pled – such that the parent had insufficient opportunity to rebut the allegations – due process is</w:t>
      </w:r>
      <w:r w:rsidR="00414BD0">
        <w:rPr>
          <w:rFonts w:ascii="Times New Roman" w:hAnsi="Times New Roman" w:cs="Times New Roman"/>
          <w:sz w:val="24"/>
          <w:szCs w:val="24"/>
        </w:rPr>
        <w:t xml:space="preserve"> violated.</w:t>
      </w:r>
      <w:r w:rsidR="00BC2B05">
        <w:rPr>
          <w:rFonts w:ascii="Times New Roman" w:hAnsi="Times New Roman" w:cs="Times New Roman"/>
          <w:sz w:val="24"/>
          <w:szCs w:val="24"/>
        </w:rPr>
        <w:t xml:space="preserve"> </w:t>
      </w:r>
      <w:r w:rsidR="00321B83">
        <w:rPr>
          <w:rFonts w:ascii="Times New Roman" w:hAnsi="Times New Roman" w:cs="Times New Roman"/>
          <w:sz w:val="24"/>
          <w:szCs w:val="24"/>
        </w:rPr>
        <w:t xml:space="preserve"> </w:t>
      </w:r>
    </w:p>
    <w:p w14:paraId="39A517BD" w14:textId="79033E93" w:rsidR="00AA17DF" w:rsidRPr="00885002" w:rsidRDefault="00AB3A7E" w:rsidP="00B700BE">
      <w:pPr>
        <w:spacing w:after="0" w:line="480" w:lineRule="auto"/>
        <w:ind w:firstLine="720"/>
        <w:rPr>
          <w:rFonts w:ascii="Times New Roman" w:hAnsi="Times New Roman" w:cs="Times New Roman"/>
          <w:b/>
          <w:sz w:val="24"/>
          <w:szCs w:val="24"/>
        </w:rPr>
      </w:pPr>
      <w:r w:rsidRPr="00AB3A7E">
        <w:rPr>
          <w:rFonts w:ascii="Times New Roman" w:hAnsi="Times New Roman" w:cs="Times New Roman"/>
          <w:sz w:val="24"/>
          <w:szCs w:val="24"/>
          <w:u w:val="single"/>
        </w:rPr>
        <w:t>Preservation</w:t>
      </w:r>
      <w:r>
        <w:rPr>
          <w:rFonts w:ascii="Times New Roman" w:hAnsi="Times New Roman" w:cs="Times New Roman"/>
          <w:sz w:val="24"/>
          <w:szCs w:val="24"/>
        </w:rPr>
        <w:t xml:space="preserve">.  </w:t>
      </w:r>
      <w:r w:rsidR="00321B83">
        <w:rPr>
          <w:rFonts w:ascii="Times New Roman" w:hAnsi="Times New Roman" w:cs="Times New Roman"/>
          <w:sz w:val="24"/>
          <w:szCs w:val="24"/>
        </w:rPr>
        <w:t xml:space="preserve">In order to preserve this issue, </w:t>
      </w:r>
      <w:r w:rsidR="00D37933">
        <w:rPr>
          <w:rFonts w:ascii="Times New Roman" w:hAnsi="Times New Roman" w:cs="Times New Roman"/>
          <w:sz w:val="24"/>
          <w:szCs w:val="24"/>
        </w:rPr>
        <w:t>parents</w:t>
      </w:r>
      <w:r w:rsidR="00321B83">
        <w:rPr>
          <w:rFonts w:ascii="Times New Roman" w:hAnsi="Times New Roman" w:cs="Times New Roman"/>
          <w:sz w:val="24"/>
          <w:szCs w:val="24"/>
        </w:rPr>
        <w:t xml:space="preserve"> facing “surprise” allegations at trial should request a continuance in order to prepare.  In support of that request, parents should argue that a continuance is essential to preserve their </w:t>
      </w:r>
      <w:r>
        <w:rPr>
          <w:rFonts w:ascii="Times New Roman" w:hAnsi="Times New Roman" w:cs="Times New Roman"/>
          <w:sz w:val="24"/>
          <w:szCs w:val="24"/>
        </w:rPr>
        <w:t xml:space="preserve">statutory and </w:t>
      </w:r>
      <w:r w:rsidR="00321B83">
        <w:rPr>
          <w:rFonts w:ascii="Times New Roman" w:hAnsi="Times New Roman" w:cs="Times New Roman"/>
          <w:sz w:val="24"/>
          <w:szCs w:val="24"/>
        </w:rPr>
        <w:t>due process rights (not that the judge has discretion to continue the trial).</w:t>
      </w:r>
      <w:r w:rsidR="00D37933">
        <w:rPr>
          <w:rFonts w:ascii="Times New Roman" w:hAnsi="Times New Roman" w:cs="Times New Roman"/>
          <w:sz w:val="24"/>
          <w:szCs w:val="24"/>
        </w:rPr>
        <w:t xml:space="preserve"> </w:t>
      </w:r>
    </w:p>
    <w:p w14:paraId="66B4865D" w14:textId="77777777" w:rsidR="00291A2E" w:rsidRDefault="00291A2E" w:rsidP="00B700BE">
      <w:pPr>
        <w:spacing w:after="0" w:line="480" w:lineRule="auto"/>
        <w:jc w:val="center"/>
        <w:rPr>
          <w:rFonts w:ascii="Times New Roman" w:hAnsi="Times New Roman" w:cs="Times New Roman"/>
          <w:b/>
          <w:sz w:val="24"/>
          <w:szCs w:val="24"/>
        </w:rPr>
      </w:pPr>
    </w:p>
    <w:p w14:paraId="452C9136" w14:textId="05BF726E" w:rsidR="00410058" w:rsidRDefault="00410058" w:rsidP="00B700B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FACTS</w:t>
      </w:r>
    </w:p>
    <w:p w14:paraId="1C95A415" w14:textId="261A58FA" w:rsidR="00410058" w:rsidRPr="00C757A0" w:rsidRDefault="00C24670" w:rsidP="00B700BE">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FC4681">
        <w:rPr>
          <w:rFonts w:ascii="Times New Roman" w:hAnsi="Times New Roman" w:cs="Times New Roman"/>
          <w:sz w:val="24"/>
          <w:szCs w:val="24"/>
        </w:rPr>
        <w:t>We represent Mother.  Her</w:t>
      </w:r>
      <w:r w:rsidR="003000F0">
        <w:rPr>
          <w:rFonts w:ascii="Times New Roman" w:hAnsi="Times New Roman" w:cs="Times New Roman"/>
          <w:sz w:val="24"/>
          <w:szCs w:val="24"/>
        </w:rPr>
        <w:t xml:space="preserve"> children were removed from her home in </w:t>
      </w:r>
      <w:r w:rsidR="00FC4681">
        <w:rPr>
          <w:rFonts w:ascii="Times New Roman" w:hAnsi="Times New Roman" w:cs="Times New Roman"/>
          <w:sz w:val="24"/>
          <w:szCs w:val="24"/>
        </w:rPr>
        <w:t>December 2017</w:t>
      </w:r>
      <w:r w:rsidR="003000F0">
        <w:rPr>
          <w:rFonts w:ascii="Times New Roman" w:hAnsi="Times New Roman" w:cs="Times New Roman"/>
          <w:sz w:val="24"/>
          <w:szCs w:val="24"/>
        </w:rPr>
        <w:t>.</w:t>
      </w:r>
      <w:r w:rsidR="006416E0">
        <w:rPr>
          <w:rFonts w:ascii="Times New Roman" w:hAnsi="Times New Roman" w:cs="Times New Roman"/>
          <w:sz w:val="24"/>
          <w:szCs w:val="24"/>
        </w:rPr>
        <w:t xml:space="preserve"> </w:t>
      </w:r>
      <w:r w:rsidR="00C757A0">
        <w:rPr>
          <w:rFonts w:ascii="Times New Roman" w:hAnsi="Times New Roman" w:cs="Times New Roman"/>
          <w:sz w:val="24"/>
          <w:szCs w:val="24"/>
        </w:rPr>
        <w:t xml:space="preserve">In </w:t>
      </w:r>
      <w:r w:rsidR="00FC4681">
        <w:rPr>
          <w:rFonts w:ascii="Times New Roman" w:hAnsi="Times New Roman" w:cs="Times New Roman"/>
          <w:sz w:val="24"/>
          <w:szCs w:val="24"/>
        </w:rPr>
        <w:t>its</w:t>
      </w:r>
      <w:r w:rsidR="00C757A0">
        <w:rPr>
          <w:rFonts w:ascii="Times New Roman" w:hAnsi="Times New Roman" w:cs="Times New Roman"/>
          <w:sz w:val="24"/>
          <w:szCs w:val="24"/>
        </w:rPr>
        <w:t xml:space="preserve"> </w:t>
      </w:r>
      <w:r w:rsidR="00FC4681">
        <w:rPr>
          <w:rFonts w:ascii="Times New Roman" w:hAnsi="Times New Roman" w:cs="Times New Roman"/>
          <w:sz w:val="24"/>
          <w:szCs w:val="24"/>
        </w:rPr>
        <w:t>initial affidavit/</w:t>
      </w:r>
      <w:r w:rsidR="00C757A0">
        <w:rPr>
          <w:rFonts w:ascii="Times New Roman" w:hAnsi="Times New Roman" w:cs="Times New Roman"/>
          <w:sz w:val="24"/>
          <w:szCs w:val="24"/>
        </w:rPr>
        <w:t>petition</w:t>
      </w:r>
      <w:r w:rsidR="006416E0">
        <w:rPr>
          <w:rFonts w:ascii="Times New Roman" w:hAnsi="Times New Roman" w:cs="Times New Roman"/>
          <w:sz w:val="24"/>
          <w:szCs w:val="24"/>
        </w:rPr>
        <w:t xml:space="preserve">, DCF stated </w:t>
      </w:r>
      <w:r w:rsidR="00FC4681">
        <w:rPr>
          <w:rFonts w:ascii="Times New Roman" w:hAnsi="Times New Roman" w:cs="Times New Roman"/>
          <w:sz w:val="24"/>
          <w:szCs w:val="24"/>
        </w:rPr>
        <w:t>that</w:t>
      </w:r>
      <w:r w:rsidR="006416E0">
        <w:rPr>
          <w:rFonts w:ascii="Times New Roman" w:hAnsi="Times New Roman" w:cs="Times New Roman"/>
          <w:sz w:val="24"/>
          <w:szCs w:val="24"/>
        </w:rPr>
        <w:t xml:space="preserve"> Mother was unfit based on </w:t>
      </w:r>
      <w:r w:rsidR="00FC4681">
        <w:rPr>
          <w:rFonts w:ascii="Times New Roman" w:hAnsi="Times New Roman" w:cs="Times New Roman"/>
          <w:sz w:val="24"/>
          <w:szCs w:val="24"/>
        </w:rPr>
        <w:t>her</w:t>
      </w:r>
      <w:r w:rsidR="006416E0">
        <w:rPr>
          <w:rFonts w:ascii="Times New Roman" w:hAnsi="Times New Roman" w:cs="Times New Roman"/>
          <w:sz w:val="24"/>
          <w:szCs w:val="24"/>
        </w:rPr>
        <w:t xml:space="preserve"> substance abuse and untreated mental health issues. </w:t>
      </w:r>
      <w:r w:rsidR="00FC4681">
        <w:rPr>
          <w:rFonts w:ascii="Times New Roman" w:hAnsi="Times New Roman" w:cs="Times New Roman"/>
          <w:sz w:val="24"/>
          <w:szCs w:val="24"/>
        </w:rPr>
        <w:t xml:space="preserve"> DCF seems to recognize that these bases are weak, because the evidence after the first day of trial is that Mother has been sober and attending therapy diligently for the past year.  But some of Mother’s testimony that first day led DCF in another direction, and now DCF’s </w:t>
      </w:r>
      <w:r w:rsidR="00AA4812">
        <w:rPr>
          <w:rFonts w:ascii="Times New Roman" w:hAnsi="Times New Roman" w:cs="Times New Roman"/>
          <w:sz w:val="24"/>
          <w:szCs w:val="24"/>
        </w:rPr>
        <w:t xml:space="preserve">primary </w:t>
      </w:r>
      <w:r w:rsidR="00FC4681">
        <w:rPr>
          <w:rFonts w:ascii="Times New Roman" w:hAnsi="Times New Roman" w:cs="Times New Roman"/>
          <w:sz w:val="24"/>
          <w:szCs w:val="24"/>
        </w:rPr>
        <w:t xml:space="preserve">argument – of which Mother had no meaningful notice – is </w:t>
      </w:r>
      <w:r w:rsidR="00850EE7">
        <w:rPr>
          <w:rFonts w:ascii="Times New Roman" w:hAnsi="Times New Roman" w:cs="Times New Roman"/>
          <w:sz w:val="24"/>
          <w:szCs w:val="24"/>
        </w:rPr>
        <w:t xml:space="preserve">that Mother failed to protect the children from </w:t>
      </w:r>
      <w:r w:rsidR="00FC4681">
        <w:rPr>
          <w:rFonts w:ascii="Times New Roman" w:hAnsi="Times New Roman" w:cs="Times New Roman"/>
          <w:sz w:val="24"/>
          <w:szCs w:val="24"/>
        </w:rPr>
        <w:t>exposure to domestic violence perpetrated by two of Mother’s boyfriends</w:t>
      </w:r>
      <w:r w:rsidR="00850EE7">
        <w:rPr>
          <w:rFonts w:ascii="Times New Roman" w:hAnsi="Times New Roman" w:cs="Times New Roman"/>
          <w:sz w:val="24"/>
          <w:szCs w:val="24"/>
        </w:rPr>
        <w:t xml:space="preserve">. </w:t>
      </w:r>
      <w:r w:rsidR="00FC4681">
        <w:rPr>
          <w:rFonts w:ascii="Times New Roman" w:hAnsi="Times New Roman" w:cs="Times New Roman"/>
          <w:sz w:val="24"/>
          <w:szCs w:val="24"/>
        </w:rPr>
        <w:t xml:space="preserve"> We asked for a continuance based on the theory that Mother has had no meaningful time to rebut the DV allegations.  The judge wants memoranda of law on the issue.  </w:t>
      </w:r>
      <w:r w:rsidR="002751E2">
        <w:rPr>
          <w:rFonts w:ascii="Times New Roman" w:hAnsi="Times New Roman" w:cs="Times New Roman"/>
          <w:sz w:val="24"/>
          <w:szCs w:val="24"/>
        </w:rPr>
        <w:t xml:space="preserve"> </w:t>
      </w:r>
    </w:p>
    <w:p w14:paraId="1C9B6D57" w14:textId="4810BCEC" w:rsidR="00B84D3F" w:rsidRPr="00AE71E4" w:rsidRDefault="00B84D3F" w:rsidP="00B700BE">
      <w:pPr>
        <w:spacing w:after="0" w:line="480" w:lineRule="auto"/>
        <w:jc w:val="center"/>
        <w:rPr>
          <w:rFonts w:ascii="Times New Roman" w:hAnsi="Times New Roman" w:cs="Times New Roman"/>
          <w:b/>
          <w:sz w:val="24"/>
          <w:szCs w:val="24"/>
        </w:rPr>
      </w:pPr>
      <w:r w:rsidRPr="00AE71E4">
        <w:rPr>
          <w:rFonts w:ascii="Times New Roman" w:hAnsi="Times New Roman" w:cs="Times New Roman"/>
          <w:b/>
          <w:sz w:val="24"/>
          <w:szCs w:val="24"/>
        </w:rPr>
        <w:t>ANALYSIS</w:t>
      </w:r>
    </w:p>
    <w:p w14:paraId="0B94FBF0" w14:textId="12887BB4" w:rsidR="00937231" w:rsidRDefault="00937231" w:rsidP="00063189">
      <w:pPr>
        <w:pStyle w:val="ListParagraph"/>
        <w:numPr>
          <w:ilvl w:val="0"/>
          <w:numId w:val="2"/>
        </w:num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Section 26 of c. 119 only permits a care and protection adjudication if the specific allegations in the petition are proven (or if the petition is formally amended).</w:t>
      </w:r>
    </w:p>
    <w:p w14:paraId="0902D27B" w14:textId="77777777" w:rsidR="00063189" w:rsidRDefault="00063189" w:rsidP="00063189">
      <w:pPr>
        <w:spacing w:after="0" w:line="240" w:lineRule="auto"/>
        <w:ind w:firstLine="720"/>
        <w:rPr>
          <w:rFonts w:ascii="Times New Roman" w:hAnsi="Times New Roman" w:cs="Times New Roman"/>
          <w:sz w:val="24"/>
          <w:szCs w:val="24"/>
        </w:rPr>
      </w:pPr>
    </w:p>
    <w:p w14:paraId="5E419573" w14:textId="2815C52D" w:rsidR="00063189" w:rsidRDefault="00063189" w:rsidP="00063189">
      <w:pPr>
        <w:spacing w:after="0" w:line="480" w:lineRule="auto"/>
        <w:ind w:firstLine="720"/>
        <w:rPr>
          <w:rFonts w:ascii="Times New Roman" w:hAnsi="Times New Roman" w:cs="Times New Roman"/>
          <w:sz w:val="24"/>
          <w:szCs w:val="24"/>
        </w:rPr>
      </w:pPr>
      <w:r w:rsidRPr="00063189">
        <w:rPr>
          <w:rFonts w:ascii="Times New Roman" w:hAnsi="Times New Roman" w:cs="Times New Roman"/>
          <w:sz w:val="24"/>
          <w:szCs w:val="24"/>
        </w:rPr>
        <w:t xml:space="preserve">Section 26(b) of chapter 119 provides that, “[i]f the court finds the allegations in the petition proved within the meaning of this chapter, it may adjudge that the child is </w:t>
      </w:r>
      <w:r w:rsidR="00291A2E">
        <w:rPr>
          <w:rFonts w:ascii="Times New Roman" w:hAnsi="Times New Roman" w:cs="Times New Roman"/>
          <w:sz w:val="24"/>
          <w:szCs w:val="24"/>
        </w:rPr>
        <w:t xml:space="preserve">in </w:t>
      </w:r>
      <w:r w:rsidRPr="00063189">
        <w:rPr>
          <w:rFonts w:ascii="Times New Roman" w:hAnsi="Times New Roman" w:cs="Times New Roman"/>
          <w:sz w:val="24"/>
          <w:szCs w:val="24"/>
        </w:rPr>
        <w:t xml:space="preserve">need of care and protection.”  </w:t>
      </w:r>
      <w:r>
        <w:rPr>
          <w:rFonts w:ascii="Times New Roman" w:hAnsi="Times New Roman" w:cs="Times New Roman"/>
          <w:sz w:val="24"/>
          <w:szCs w:val="24"/>
        </w:rPr>
        <w:t xml:space="preserve">This suggests that the court cannot adjudicate the child in need of care and protection – or that a parent is unfit – if </w:t>
      </w:r>
      <w:r w:rsidR="00291A2E">
        <w:rPr>
          <w:rFonts w:ascii="Times New Roman" w:hAnsi="Times New Roman" w:cs="Times New Roman"/>
          <w:sz w:val="24"/>
          <w:szCs w:val="24"/>
        </w:rPr>
        <w:t xml:space="preserve">(a) </w:t>
      </w:r>
      <w:r>
        <w:rPr>
          <w:rFonts w:ascii="Times New Roman" w:hAnsi="Times New Roman" w:cs="Times New Roman"/>
          <w:sz w:val="24"/>
          <w:szCs w:val="24"/>
        </w:rPr>
        <w:t>the allegations in the petition are not proved</w:t>
      </w:r>
      <w:r w:rsidR="00291A2E">
        <w:rPr>
          <w:rFonts w:ascii="Times New Roman" w:hAnsi="Times New Roman" w:cs="Times New Roman"/>
          <w:sz w:val="24"/>
          <w:szCs w:val="24"/>
        </w:rPr>
        <w:t xml:space="preserve">, and (b) if </w:t>
      </w:r>
      <w:r>
        <w:rPr>
          <w:rFonts w:ascii="Times New Roman" w:hAnsi="Times New Roman" w:cs="Times New Roman"/>
          <w:sz w:val="24"/>
          <w:szCs w:val="24"/>
        </w:rPr>
        <w:t>DCF prove</w:t>
      </w:r>
      <w:r w:rsidR="00291A2E">
        <w:rPr>
          <w:rFonts w:ascii="Times New Roman" w:hAnsi="Times New Roman" w:cs="Times New Roman"/>
          <w:sz w:val="24"/>
          <w:szCs w:val="24"/>
        </w:rPr>
        <w:t>s “bad” facts that it has not alleged.</w:t>
      </w:r>
      <w:r>
        <w:rPr>
          <w:rFonts w:ascii="Times New Roman" w:hAnsi="Times New Roman" w:cs="Times New Roman"/>
          <w:sz w:val="24"/>
          <w:szCs w:val="24"/>
        </w:rPr>
        <w:t xml:space="preserve">  </w:t>
      </w:r>
    </w:p>
    <w:p w14:paraId="599B3985" w14:textId="60E92E1D" w:rsidR="00063189" w:rsidRPr="00063189" w:rsidRDefault="00063189" w:rsidP="0006318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Section 26(b) does permit DCF to amend its petition, by motion.  The amendment language in that section focuses on amendment to permit DCF to seek termination, but presumably it would permit amendment to specify other/new grounds for a care and protection adjudication.  Together, the language of § 26(b) regarding proof of the “allegations in the petition” and that section’s express amendment process suggest that DCF must prove its initial allegations or move to amend its petition with new allegations.  Otherwise, the court cannot adjudicate a child in need of care and protection.   </w:t>
      </w:r>
    </w:p>
    <w:p w14:paraId="0FC885EB" w14:textId="58E8B6F4" w:rsidR="00063189" w:rsidRDefault="00063189" w:rsidP="00B700BE">
      <w:pPr>
        <w:pStyle w:val="ListParagraph"/>
        <w:numPr>
          <w:ilvl w:val="0"/>
          <w:numId w:val="2"/>
        </w:num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As a matter of due process, parents are entitled to notice of DCF’s adverse allegations with enough time to be meaningfully heard in order to rebut </w:t>
      </w:r>
      <w:r w:rsidR="00B700BE">
        <w:rPr>
          <w:rFonts w:ascii="Times New Roman" w:hAnsi="Times New Roman" w:cs="Times New Roman"/>
          <w:b/>
          <w:sz w:val="24"/>
          <w:szCs w:val="24"/>
        </w:rPr>
        <w:t>them</w:t>
      </w:r>
      <w:r>
        <w:rPr>
          <w:rFonts w:ascii="Times New Roman" w:hAnsi="Times New Roman" w:cs="Times New Roman"/>
          <w:b/>
          <w:sz w:val="24"/>
          <w:szCs w:val="24"/>
        </w:rPr>
        <w:t>.</w:t>
      </w:r>
    </w:p>
    <w:p w14:paraId="7B307C51" w14:textId="77777777" w:rsidR="00B700BE" w:rsidRDefault="00B700BE" w:rsidP="00B700BE">
      <w:pPr>
        <w:pStyle w:val="ListParagraph"/>
        <w:spacing w:after="0" w:line="240" w:lineRule="auto"/>
        <w:rPr>
          <w:rFonts w:ascii="Times New Roman" w:hAnsi="Times New Roman" w:cs="Times New Roman"/>
          <w:b/>
          <w:sz w:val="24"/>
          <w:szCs w:val="24"/>
        </w:rPr>
      </w:pPr>
    </w:p>
    <w:p w14:paraId="2FBEED21" w14:textId="1AC64331" w:rsidR="00F16DE4" w:rsidRPr="00AE71E4" w:rsidRDefault="00063189" w:rsidP="00B700BE">
      <w:pPr>
        <w:pStyle w:val="ListParagraph"/>
        <w:spacing w:after="0" w:line="48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B84D3F" w:rsidRPr="00AE71E4">
        <w:rPr>
          <w:rFonts w:ascii="Times New Roman" w:hAnsi="Times New Roman" w:cs="Times New Roman"/>
          <w:b/>
          <w:sz w:val="24"/>
          <w:szCs w:val="24"/>
        </w:rPr>
        <w:t xml:space="preserve">Parents are entitled to </w:t>
      </w:r>
      <w:r w:rsidR="00FC4681">
        <w:rPr>
          <w:rFonts w:ascii="Times New Roman" w:hAnsi="Times New Roman" w:cs="Times New Roman"/>
          <w:b/>
          <w:sz w:val="24"/>
          <w:szCs w:val="24"/>
        </w:rPr>
        <w:t>due process in care and protection proceedings.</w:t>
      </w:r>
    </w:p>
    <w:p w14:paraId="7CA06915" w14:textId="7C9BDC58" w:rsidR="00256AEB" w:rsidRPr="00B27492" w:rsidRDefault="00D42C64" w:rsidP="00B700BE">
      <w:pPr>
        <w:spacing w:after="0" w:line="480" w:lineRule="auto"/>
        <w:ind w:firstLine="720"/>
        <w:rPr>
          <w:rFonts w:ascii="Times New Roman" w:hAnsi="Times New Roman" w:cs="Times New Roman"/>
          <w:sz w:val="24"/>
          <w:szCs w:val="24"/>
          <w:u w:val="single"/>
        </w:rPr>
      </w:pPr>
      <w:r w:rsidRPr="00AE71E4">
        <w:rPr>
          <w:rFonts w:ascii="Times New Roman" w:hAnsi="Times New Roman" w:cs="Times New Roman"/>
          <w:sz w:val="24"/>
          <w:szCs w:val="24"/>
        </w:rPr>
        <w:t xml:space="preserve">The Due Process Clause of the Fourteenth </w:t>
      </w:r>
      <w:r w:rsidR="00267561">
        <w:rPr>
          <w:rFonts w:ascii="Times New Roman" w:hAnsi="Times New Roman" w:cs="Times New Roman"/>
          <w:sz w:val="24"/>
          <w:szCs w:val="24"/>
        </w:rPr>
        <w:t>A</w:t>
      </w:r>
      <w:r w:rsidRPr="00AE71E4">
        <w:rPr>
          <w:rFonts w:ascii="Times New Roman" w:hAnsi="Times New Roman" w:cs="Times New Roman"/>
          <w:sz w:val="24"/>
          <w:szCs w:val="24"/>
        </w:rPr>
        <w:t xml:space="preserve">mendment </w:t>
      </w:r>
      <w:r w:rsidR="003835B6" w:rsidRPr="00AE71E4">
        <w:rPr>
          <w:rFonts w:ascii="Times New Roman" w:hAnsi="Times New Roman" w:cs="Times New Roman"/>
          <w:sz w:val="24"/>
          <w:szCs w:val="24"/>
        </w:rPr>
        <w:t xml:space="preserve">requires the government to </w:t>
      </w:r>
      <w:r w:rsidR="00F03F3A" w:rsidRPr="00AE71E4">
        <w:rPr>
          <w:rFonts w:ascii="Times New Roman" w:hAnsi="Times New Roman" w:cs="Times New Roman"/>
          <w:sz w:val="24"/>
          <w:szCs w:val="24"/>
        </w:rPr>
        <w:t xml:space="preserve">provide </w:t>
      </w:r>
      <w:r w:rsidR="002F5BC4" w:rsidRPr="00AE71E4">
        <w:rPr>
          <w:rFonts w:ascii="Times New Roman" w:hAnsi="Times New Roman" w:cs="Times New Roman"/>
          <w:sz w:val="24"/>
          <w:szCs w:val="24"/>
        </w:rPr>
        <w:t xml:space="preserve">citizens with </w:t>
      </w:r>
      <w:r w:rsidR="00F03F3A" w:rsidRPr="00AE71E4">
        <w:rPr>
          <w:rFonts w:ascii="Times New Roman" w:hAnsi="Times New Roman" w:cs="Times New Roman"/>
          <w:sz w:val="24"/>
          <w:szCs w:val="24"/>
        </w:rPr>
        <w:t xml:space="preserve">notice and an opportunity to be heard </w:t>
      </w:r>
      <w:r w:rsidR="002F5BC4" w:rsidRPr="00AE71E4">
        <w:rPr>
          <w:rFonts w:ascii="Times New Roman" w:hAnsi="Times New Roman" w:cs="Times New Roman"/>
          <w:sz w:val="24"/>
          <w:szCs w:val="24"/>
        </w:rPr>
        <w:t xml:space="preserve">before depriving them of life, liberty, or property. </w:t>
      </w:r>
      <w:r w:rsidR="00745926" w:rsidRPr="00AE71E4">
        <w:rPr>
          <w:rFonts w:ascii="Times New Roman" w:hAnsi="Times New Roman" w:cs="Times New Roman"/>
          <w:sz w:val="24"/>
          <w:szCs w:val="24"/>
          <w:u w:val="single"/>
        </w:rPr>
        <w:t>See</w:t>
      </w:r>
      <w:r w:rsidR="00745926" w:rsidRPr="00AE71E4">
        <w:rPr>
          <w:rFonts w:ascii="Times New Roman" w:hAnsi="Times New Roman" w:cs="Times New Roman"/>
          <w:sz w:val="24"/>
          <w:szCs w:val="24"/>
        </w:rPr>
        <w:t xml:space="preserve"> </w:t>
      </w:r>
      <w:r w:rsidR="009534E1" w:rsidRPr="00AE71E4">
        <w:rPr>
          <w:rFonts w:ascii="Times New Roman" w:hAnsi="Times New Roman" w:cs="Times New Roman"/>
          <w:sz w:val="24"/>
          <w:szCs w:val="24"/>
          <w:u w:val="single"/>
        </w:rPr>
        <w:t>Morrissey v. State Ballot Law Comm'n</w:t>
      </w:r>
      <w:r w:rsidR="009534E1" w:rsidRPr="00AE71E4">
        <w:rPr>
          <w:rFonts w:ascii="Times New Roman" w:hAnsi="Times New Roman" w:cs="Times New Roman"/>
          <w:sz w:val="24"/>
          <w:szCs w:val="24"/>
        </w:rPr>
        <w:t>, 312 Mass. 121, 130 (1942)</w:t>
      </w:r>
      <w:r w:rsidR="00745926" w:rsidRPr="00AE71E4">
        <w:rPr>
          <w:rFonts w:ascii="Times New Roman" w:hAnsi="Times New Roman" w:cs="Times New Roman"/>
          <w:sz w:val="24"/>
          <w:szCs w:val="24"/>
        </w:rPr>
        <w:t xml:space="preserve">. </w:t>
      </w:r>
      <w:r w:rsidR="003870B9" w:rsidRPr="00AE71E4">
        <w:rPr>
          <w:rFonts w:ascii="Times New Roman" w:hAnsi="Times New Roman" w:cs="Times New Roman"/>
          <w:sz w:val="24"/>
          <w:szCs w:val="24"/>
        </w:rPr>
        <w:t xml:space="preserve">The amount of procedure required </w:t>
      </w:r>
      <w:r w:rsidR="00FC4681">
        <w:rPr>
          <w:rFonts w:ascii="Times New Roman" w:hAnsi="Times New Roman" w:cs="Times New Roman"/>
          <w:sz w:val="24"/>
          <w:szCs w:val="24"/>
        </w:rPr>
        <w:t>varies</w:t>
      </w:r>
      <w:r w:rsidR="008E4CCB" w:rsidRPr="00AE71E4">
        <w:rPr>
          <w:rFonts w:ascii="Times New Roman" w:hAnsi="Times New Roman" w:cs="Times New Roman"/>
          <w:sz w:val="24"/>
          <w:szCs w:val="24"/>
        </w:rPr>
        <w:t xml:space="preserve"> based on the context and the amount of deprivation</w:t>
      </w:r>
      <w:r w:rsidR="00D754A7" w:rsidRPr="00AE71E4">
        <w:rPr>
          <w:rFonts w:ascii="Times New Roman" w:hAnsi="Times New Roman" w:cs="Times New Roman"/>
          <w:sz w:val="24"/>
          <w:szCs w:val="24"/>
        </w:rPr>
        <w:t xml:space="preserve">. </w:t>
      </w:r>
      <w:r w:rsidR="008E4CCB" w:rsidRPr="00AE71E4">
        <w:rPr>
          <w:rFonts w:ascii="Times New Roman" w:hAnsi="Times New Roman" w:cs="Times New Roman"/>
          <w:sz w:val="24"/>
          <w:szCs w:val="24"/>
          <w:u w:val="single"/>
        </w:rPr>
        <w:t>S</w:t>
      </w:r>
      <w:r w:rsidR="00B10F3A">
        <w:rPr>
          <w:rFonts w:ascii="Times New Roman" w:hAnsi="Times New Roman" w:cs="Times New Roman"/>
          <w:sz w:val="24"/>
          <w:szCs w:val="24"/>
          <w:u w:val="single"/>
        </w:rPr>
        <w:t>ee</w:t>
      </w:r>
      <w:r w:rsidR="00B10F3A" w:rsidRPr="00B10F3A">
        <w:rPr>
          <w:rFonts w:ascii="Times New Roman" w:hAnsi="Times New Roman" w:cs="Times New Roman"/>
          <w:sz w:val="24"/>
          <w:szCs w:val="24"/>
        </w:rPr>
        <w:t xml:space="preserve"> </w:t>
      </w:r>
      <w:r w:rsidR="00B10F3A">
        <w:rPr>
          <w:rFonts w:ascii="Times New Roman" w:hAnsi="Times New Roman" w:cs="Times New Roman"/>
          <w:sz w:val="24"/>
          <w:szCs w:val="24"/>
          <w:u w:val="single"/>
        </w:rPr>
        <w:t>S</w:t>
      </w:r>
      <w:r w:rsidR="008E4CCB" w:rsidRPr="00AE71E4">
        <w:rPr>
          <w:rFonts w:ascii="Times New Roman" w:hAnsi="Times New Roman" w:cs="Times New Roman"/>
          <w:sz w:val="24"/>
          <w:szCs w:val="24"/>
          <w:u w:val="single"/>
        </w:rPr>
        <w:t>pence v. Gormley</w:t>
      </w:r>
      <w:r w:rsidR="008E4CCB" w:rsidRPr="00AE71E4">
        <w:rPr>
          <w:rFonts w:ascii="Times New Roman" w:hAnsi="Times New Roman" w:cs="Times New Roman"/>
          <w:sz w:val="24"/>
          <w:szCs w:val="24"/>
        </w:rPr>
        <w:t>, 387 Mass. 258, 274 (1982).</w:t>
      </w:r>
      <w:r w:rsidR="006D2EA6" w:rsidRPr="00AE71E4">
        <w:rPr>
          <w:rFonts w:ascii="Times New Roman" w:hAnsi="Times New Roman" w:cs="Times New Roman"/>
          <w:sz w:val="24"/>
          <w:szCs w:val="24"/>
        </w:rPr>
        <w:t xml:space="preserve"> </w:t>
      </w:r>
      <w:r w:rsidR="00FC4681">
        <w:rPr>
          <w:rFonts w:ascii="Times New Roman" w:hAnsi="Times New Roman" w:cs="Times New Roman"/>
          <w:sz w:val="24"/>
          <w:szCs w:val="24"/>
        </w:rPr>
        <w:t>While care and prote</w:t>
      </w:r>
      <w:r w:rsidR="00A75A7F" w:rsidRPr="00AE71E4">
        <w:rPr>
          <w:rFonts w:ascii="Times New Roman" w:hAnsi="Times New Roman" w:cs="Times New Roman"/>
          <w:sz w:val="24"/>
          <w:szCs w:val="24"/>
        </w:rPr>
        <w:t>ction proceedings are not afforded the same procedural protections as criminal cases,</w:t>
      </w:r>
      <w:r w:rsidR="00397FDB" w:rsidRPr="00AE71E4">
        <w:rPr>
          <w:rFonts w:ascii="Times New Roman" w:hAnsi="Times New Roman" w:cs="Times New Roman"/>
          <w:sz w:val="24"/>
          <w:szCs w:val="24"/>
        </w:rPr>
        <w:t xml:space="preserve"> </w:t>
      </w:r>
      <w:r w:rsidR="009F0662" w:rsidRPr="00AE71E4">
        <w:rPr>
          <w:rFonts w:ascii="Times New Roman" w:hAnsi="Times New Roman" w:cs="Times New Roman"/>
          <w:sz w:val="24"/>
          <w:szCs w:val="24"/>
        </w:rPr>
        <w:t xml:space="preserve">parents have a fundamental liberty interest in maintaining </w:t>
      </w:r>
      <w:r w:rsidR="0047141D" w:rsidRPr="00AE71E4">
        <w:rPr>
          <w:rFonts w:ascii="Times New Roman" w:hAnsi="Times New Roman" w:cs="Times New Roman"/>
          <w:sz w:val="24"/>
          <w:szCs w:val="24"/>
        </w:rPr>
        <w:t>custody</w:t>
      </w:r>
      <w:r w:rsidR="009F0662" w:rsidRPr="00AE71E4">
        <w:rPr>
          <w:rFonts w:ascii="Times New Roman" w:hAnsi="Times New Roman" w:cs="Times New Roman"/>
          <w:sz w:val="24"/>
          <w:szCs w:val="24"/>
        </w:rPr>
        <w:t xml:space="preserve"> of their </w:t>
      </w:r>
      <w:r w:rsidR="00544566" w:rsidRPr="00AE71E4">
        <w:rPr>
          <w:rFonts w:ascii="Times New Roman" w:hAnsi="Times New Roman" w:cs="Times New Roman"/>
          <w:sz w:val="24"/>
          <w:szCs w:val="24"/>
        </w:rPr>
        <w:t>c</w:t>
      </w:r>
      <w:r w:rsidR="009F0662" w:rsidRPr="00AE71E4">
        <w:rPr>
          <w:rFonts w:ascii="Times New Roman" w:hAnsi="Times New Roman" w:cs="Times New Roman"/>
          <w:sz w:val="24"/>
          <w:szCs w:val="24"/>
        </w:rPr>
        <w:t xml:space="preserve">hildren. </w:t>
      </w:r>
      <w:r w:rsidR="00740BCE" w:rsidRPr="00AE71E4">
        <w:rPr>
          <w:rFonts w:ascii="Times New Roman" w:hAnsi="Times New Roman" w:cs="Times New Roman"/>
          <w:sz w:val="24"/>
          <w:szCs w:val="24"/>
          <w:u w:val="single"/>
        </w:rPr>
        <w:t>Care and Protection of Erin</w:t>
      </w:r>
      <w:r w:rsidR="00740BCE" w:rsidRPr="00AE71E4">
        <w:rPr>
          <w:rFonts w:ascii="Times New Roman" w:hAnsi="Times New Roman" w:cs="Times New Roman"/>
          <w:sz w:val="24"/>
          <w:szCs w:val="24"/>
        </w:rPr>
        <w:t>, 443 Mass. 567, 570 (2005)</w:t>
      </w:r>
      <w:r w:rsidR="00B27492">
        <w:rPr>
          <w:rFonts w:ascii="Times New Roman" w:hAnsi="Times New Roman" w:cs="Times New Roman"/>
          <w:sz w:val="24"/>
          <w:szCs w:val="24"/>
        </w:rPr>
        <w:t xml:space="preserve">; </w:t>
      </w:r>
      <w:r w:rsidR="00B27492">
        <w:rPr>
          <w:rFonts w:ascii="Times New Roman" w:hAnsi="Times New Roman" w:cs="Times New Roman"/>
          <w:sz w:val="24"/>
          <w:szCs w:val="24"/>
          <w:u w:val="single"/>
        </w:rPr>
        <w:t>see</w:t>
      </w:r>
      <w:r w:rsidR="00B27492" w:rsidRPr="00B27492">
        <w:rPr>
          <w:rFonts w:ascii="Times New Roman" w:hAnsi="Times New Roman" w:cs="Times New Roman"/>
          <w:sz w:val="24"/>
          <w:szCs w:val="24"/>
        </w:rPr>
        <w:t xml:space="preserve"> </w:t>
      </w:r>
      <w:r w:rsidR="00B27492" w:rsidRPr="00AE71E4">
        <w:rPr>
          <w:rFonts w:ascii="Times New Roman" w:hAnsi="Times New Roman" w:cs="Times New Roman"/>
          <w:sz w:val="24"/>
          <w:szCs w:val="24"/>
          <w:u w:val="single"/>
        </w:rPr>
        <w:t>Adoption of Mary</w:t>
      </w:r>
      <w:r w:rsidR="00B27492" w:rsidRPr="00AE71E4">
        <w:rPr>
          <w:rFonts w:ascii="Times New Roman" w:hAnsi="Times New Roman" w:cs="Times New Roman"/>
          <w:sz w:val="24"/>
          <w:szCs w:val="24"/>
        </w:rPr>
        <w:t>, 414 Mass. 705, 708 (1993)</w:t>
      </w:r>
      <w:r w:rsidR="00B27492">
        <w:rPr>
          <w:rFonts w:ascii="Times New Roman" w:hAnsi="Times New Roman" w:cs="Times New Roman"/>
          <w:sz w:val="24"/>
          <w:szCs w:val="24"/>
        </w:rPr>
        <w:t xml:space="preserve"> (holding that r</w:t>
      </w:r>
      <w:r w:rsidR="00B27492" w:rsidRPr="00AE71E4">
        <w:rPr>
          <w:rFonts w:ascii="Times New Roman" w:hAnsi="Times New Roman" w:cs="Times New Roman"/>
          <w:sz w:val="24"/>
          <w:szCs w:val="24"/>
        </w:rPr>
        <w:t>emoving a child from the</w:t>
      </w:r>
      <w:r w:rsidR="00B27492">
        <w:rPr>
          <w:rFonts w:ascii="Times New Roman" w:hAnsi="Times New Roman" w:cs="Times New Roman"/>
          <w:sz w:val="24"/>
          <w:szCs w:val="24"/>
        </w:rPr>
        <w:t xml:space="preserve">ir parent’s custody </w:t>
      </w:r>
      <w:r w:rsidR="00B27492" w:rsidRPr="00AE71E4">
        <w:rPr>
          <w:rFonts w:ascii="Times New Roman" w:hAnsi="Times New Roman" w:cs="Times New Roman"/>
          <w:sz w:val="24"/>
          <w:szCs w:val="24"/>
        </w:rPr>
        <w:t>is a “substantial” deprivation</w:t>
      </w:r>
      <w:r w:rsidR="00B27492">
        <w:rPr>
          <w:rFonts w:ascii="Times New Roman" w:hAnsi="Times New Roman" w:cs="Times New Roman"/>
          <w:sz w:val="24"/>
          <w:szCs w:val="24"/>
        </w:rPr>
        <w:t>)</w:t>
      </w:r>
      <w:r w:rsidR="00113D3C">
        <w:rPr>
          <w:rFonts w:ascii="Times New Roman" w:hAnsi="Times New Roman" w:cs="Times New Roman"/>
          <w:sz w:val="24"/>
          <w:szCs w:val="24"/>
        </w:rPr>
        <w:t xml:space="preserve">. </w:t>
      </w:r>
    </w:p>
    <w:p w14:paraId="17579E05" w14:textId="4CAF9692" w:rsidR="00D42C64" w:rsidRDefault="00E06E3D" w:rsidP="00BC2B05">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Parents</w:t>
      </w:r>
      <w:r w:rsidR="0068000E" w:rsidRPr="00AE71E4">
        <w:rPr>
          <w:rFonts w:ascii="Times New Roman" w:hAnsi="Times New Roman" w:cs="Times New Roman"/>
          <w:sz w:val="24"/>
          <w:szCs w:val="24"/>
        </w:rPr>
        <w:t xml:space="preserve"> must have notice</w:t>
      </w:r>
      <w:r>
        <w:rPr>
          <w:rFonts w:ascii="Times New Roman" w:hAnsi="Times New Roman" w:cs="Times New Roman"/>
          <w:sz w:val="24"/>
          <w:szCs w:val="24"/>
        </w:rPr>
        <w:t xml:space="preserve"> </w:t>
      </w:r>
      <w:r w:rsidR="0068000E" w:rsidRPr="00AE71E4">
        <w:rPr>
          <w:rFonts w:ascii="Times New Roman" w:hAnsi="Times New Roman" w:cs="Times New Roman"/>
          <w:sz w:val="24"/>
          <w:szCs w:val="24"/>
        </w:rPr>
        <w:t xml:space="preserve">and </w:t>
      </w:r>
      <w:r>
        <w:rPr>
          <w:rFonts w:ascii="Times New Roman" w:hAnsi="Times New Roman" w:cs="Times New Roman"/>
          <w:sz w:val="24"/>
          <w:szCs w:val="24"/>
        </w:rPr>
        <w:t xml:space="preserve">an </w:t>
      </w:r>
      <w:r w:rsidR="0068000E" w:rsidRPr="00AE71E4">
        <w:rPr>
          <w:rFonts w:ascii="Times New Roman" w:hAnsi="Times New Roman" w:cs="Times New Roman"/>
          <w:sz w:val="24"/>
          <w:szCs w:val="24"/>
        </w:rPr>
        <w:t xml:space="preserve">opportunity to heard in a meaningful manner, which includes the opportunity to effectively rebut adverse allegations concerning </w:t>
      </w:r>
      <w:r w:rsidR="0047141D" w:rsidRPr="00AE71E4">
        <w:rPr>
          <w:rFonts w:ascii="Times New Roman" w:hAnsi="Times New Roman" w:cs="Times New Roman"/>
          <w:sz w:val="24"/>
          <w:szCs w:val="24"/>
        </w:rPr>
        <w:t xml:space="preserve">their parenting. </w:t>
      </w:r>
      <w:r w:rsidR="00ED3E8E">
        <w:rPr>
          <w:rFonts w:ascii="Times New Roman" w:hAnsi="Times New Roman" w:cs="Times New Roman"/>
          <w:sz w:val="24"/>
          <w:szCs w:val="24"/>
          <w:u w:val="single"/>
        </w:rPr>
        <w:t>See</w:t>
      </w:r>
      <w:r w:rsidR="00ED3E8E" w:rsidRPr="00ED3E8E">
        <w:rPr>
          <w:rFonts w:ascii="Times New Roman" w:hAnsi="Times New Roman" w:cs="Times New Roman"/>
          <w:sz w:val="24"/>
          <w:szCs w:val="24"/>
          <w:u w:val="single"/>
        </w:rPr>
        <w:t xml:space="preserve"> </w:t>
      </w:r>
      <w:r w:rsidR="0047141D" w:rsidRPr="00AE71E4">
        <w:rPr>
          <w:rFonts w:ascii="Times New Roman" w:hAnsi="Times New Roman" w:cs="Times New Roman"/>
          <w:sz w:val="24"/>
          <w:szCs w:val="24"/>
          <w:u w:val="single"/>
        </w:rPr>
        <w:t>Mary</w:t>
      </w:r>
      <w:r w:rsidR="0047141D" w:rsidRPr="00AE71E4">
        <w:rPr>
          <w:rFonts w:ascii="Times New Roman" w:hAnsi="Times New Roman" w:cs="Times New Roman"/>
          <w:sz w:val="24"/>
          <w:szCs w:val="24"/>
        </w:rPr>
        <w:t xml:space="preserve">, </w:t>
      </w:r>
      <w:r w:rsidR="00FC4681">
        <w:rPr>
          <w:rFonts w:ascii="Times New Roman" w:hAnsi="Times New Roman" w:cs="Times New Roman"/>
          <w:sz w:val="24"/>
          <w:szCs w:val="24"/>
        </w:rPr>
        <w:t xml:space="preserve">414 Mass. </w:t>
      </w:r>
      <w:r w:rsidR="0047141D" w:rsidRPr="00AE71E4">
        <w:rPr>
          <w:rFonts w:ascii="Times New Roman" w:hAnsi="Times New Roman" w:cs="Times New Roman"/>
          <w:sz w:val="24"/>
          <w:szCs w:val="24"/>
        </w:rPr>
        <w:t xml:space="preserve">at 418; </w:t>
      </w:r>
      <w:r w:rsidR="0047141D" w:rsidRPr="00AE71E4">
        <w:rPr>
          <w:rFonts w:ascii="Times New Roman" w:hAnsi="Times New Roman" w:cs="Times New Roman"/>
          <w:sz w:val="24"/>
          <w:szCs w:val="24"/>
          <w:u w:val="single"/>
        </w:rPr>
        <w:t>Adoption of Parker</w:t>
      </w:r>
      <w:r w:rsidR="0047141D" w:rsidRPr="00AE71E4">
        <w:rPr>
          <w:rFonts w:ascii="Times New Roman" w:hAnsi="Times New Roman" w:cs="Times New Roman"/>
          <w:sz w:val="24"/>
          <w:szCs w:val="24"/>
        </w:rPr>
        <w:t>, 77 Mass. App. Ct. 619, 622</w:t>
      </w:r>
      <w:r w:rsidR="00FC7041">
        <w:rPr>
          <w:rFonts w:ascii="Times New Roman" w:hAnsi="Times New Roman" w:cs="Times New Roman"/>
          <w:sz w:val="24"/>
          <w:szCs w:val="24"/>
        </w:rPr>
        <w:t xml:space="preserve"> </w:t>
      </w:r>
      <w:r w:rsidR="0047141D" w:rsidRPr="00AE71E4">
        <w:rPr>
          <w:rFonts w:ascii="Times New Roman" w:hAnsi="Times New Roman" w:cs="Times New Roman"/>
          <w:sz w:val="24"/>
          <w:szCs w:val="24"/>
        </w:rPr>
        <w:t>(2010)</w:t>
      </w:r>
      <w:r w:rsidR="00046341">
        <w:rPr>
          <w:rFonts w:ascii="Times New Roman" w:hAnsi="Times New Roman" w:cs="Times New Roman"/>
          <w:sz w:val="24"/>
          <w:szCs w:val="24"/>
        </w:rPr>
        <w:t>;</w:t>
      </w:r>
      <w:r w:rsidR="0047141D" w:rsidRPr="00AE71E4">
        <w:rPr>
          <w:rFonts w:ascii="Times New Roman" w:hAnsi="Times New Roman" w:cs="Times New Roman"/>
          <w:sz w:val="24"/>
          <w:szCs w:val="24"/>
        </w:rPr>
        <w:t xml:space="preserve"> </w:t>
      </w:r>
      <w:r w:rsidR="00046341">
        <w:rPr>
          <w:rFonts w:ascii="Times New Roman" w:hAnsi="Times New Roman" w:cs="Times New Roman"/>
          <w:sz w:val="24"/>
          <w:szCs w:val="24"/>
          <w:u w:val="single"/>
        </w:rPr>
        <w:t>s</w:t>
      </w:r>
      <w:r w:rsidR="008A6179" w:rsidRPr="00AE71E4">
        <w:rPr>
          <w:rFonts w:ascii="Times New Roman" w:hAnsi="Times New Roman" w:cs="Times New Roman"/>
          <w:sz w:val="24"/>
          <w:szCs w:val="24"/>
          <w:u w:val="single"/>
        </w:rPr>
        <w:t>ee also</w:t>
      </w:r>
      <w:r w:rsidR="008A6179" w:rsidRPr="00AE71E4">
        <w:rPr>
          <w:rFonts w:ascii="Times New Roman" w:hAnsi="Times New Roman" w:cs="Times New Roman"/>
          <w:sz w:val="24"/>
          <w:szCs w:val="24"/>
        </w:rPr>
        <w:t xml:space="preserve"> </w:t>
      </w:r>
      <w:r w:rsidR="00256AEB" w:rsidRPr="00046341">
        <w:rPr>
          <w:rFonts w:ascii="Times New Roman" w:hAnsi="Times New Roman" w:cs="Times New Roman"/>
          <w:sz w:val="24"/>
          <w:szCs w:val="24"/>
          <w:u w:val="single"/>
        </w:rPr>
        <w:t>Adoption of Carla</w:t>
      </w:r>
      <w:r w:rsidR="00256AEB" w:rsidRPr="00AE71E4">
        <w:rPr>
          <w:rFonts w:ascii="Times New Roman" w:hAnsi="Times New Roman" w:cs="Times New Roman"/>
          <w:sz w:val="24"/>
          <w:szCs w:val="24"/>
        </w:rPr>
        <w:t>, 416 Mass. 510, 514(1993) (</w:t>
      </w:r>
      <w:r w:rsidR="0071654F">
        <w:rPr>
          <w:rFonts w:ascii="Times New Roman" w:hAnsi="Times New Roman" w:cs="Times New Roman"/>
          <w:sz w:val="24"/>
          <w:szCs w:val="24"/>
        </w:rPr>
        <w:t xml:space="preserve">holding that </w:t>
      </w:r>
      <w:r w:rsidR="00A50AB6">
        <w:rPr>
          <w:rFonts w:ascii="Times New Roman" w:hAnsi="Times New Roman" w:cs="Times New Roman"/>
          <w:sz w:val="24"/>
          <w:szCs w:val="24"/>
        </w:rPr>
        <w:t xml:space="preserve">admission of a child’s hearsay statements </w:t>
      </w:r>
      <w:r w:rsidR="0071654F">
        <w:rPr>
          <w:rFonts w:ascii="Times New Roman" w:hAnsi="Times New Roman" w:cs="Times New Roman"/>
          <w:sz w:val="24"/>
          <w:szCs w:val="24"/>
        </w:rPr>
        <w:t>where child does not testify and judge has no other way to asses credibility of allegations denies parents opportunity to rebut</w:t>
      </w:r>
      <w:r w:rsidR="00256AEB" w:rsidRPr="00AE71E4">
        <w:rPr>
          <w:rFonts w:ascii="Times New Roman" w:hAnsi="Times New Roman" w:cs="Times New Roman"/>
          <w:sz w:val="24"/>
          <w:szCs w:val="24"/>
        </w:rPr>
        <w:t>);</w:t>
      </w:r>
      <w:r w:rsidR="00AF4EB9" w:rsidRPr="00AE71E4">
        <w:rPr>
          <w:rFonts w:ascii="Times New Roman" w:hAnsi="Times New Roman" w:cs="Times New Roman"/>
          <w:sz w:val="24"/>
          <w:szCs w:val="24"/>
        </w:rPr>
        <w:t xml:space="preserve"> </w:t>
      </w:r>
      <w:r w:rsidR="00BE363F" w:rsidRPr="002D704C">
        <w:rPr>
          <w:rFonts w:ascii="Times New Roman" w:hAnsi="Times New Roman" w:cs="Times New Roman"/>
          <w:sz w:val="24"/>
          <w:szCs w:val="24"/>
          <w:u w:val="single"/>
        </w:rPr>
        <w:t xml:space="preserve">Care </w:t>
      </w:r>
      <w:r w:rsidR="002D704C" w:rsidRPr="002D704C">
        <w:rPr>
          <w:rFonts w:ascii="Times New Roman" w:hAnsi="Times New Roman" w:cs="Times New Roman"/>
          <w:sz w:val="24"/>
          <w:szCs w:val="24"/>
          <w:u w:val="single"/>
        </w:rPr>
        <w:t>and</w:t>
      </w:r>
      <w:r w:rsidR="00BE363F" w:rsidRPr="002D704C">
        <w:rPr>
          <w:rFonts w:ascii="Times New Roman" w:hAnsi="Times New Roman" w:cs="Times New Roman"/>
          <w:sz w:val="24"/>
          <w:szCs w:val="24"/>
          <w:u w:val="single"/>
        </w:rPr>
        <w:t xml:space="preserve"> Prot</w:t>
      </w:r>
      <w:r w:rsidR="002D704C" w:rsidRPr="002D704C">
        <w:rPr>
          <w:rFonts w:ascii="Times New Roman" w:hAnsi="Times New Roman" w:cs="Times New Roman"/>
          <w:sz w:val="24"/>
          <w:szCs w:val="24"/>
          <w:u w:val="single"/>
        </w:rPr>
        <w:t>ection</w:t>
      </w:r>
      <w:r w:rsidR="00BE363F" w:rsidRPr="002D704C">
        <w:rPr>
          <w:rFonts w:ascii="Times New Roman" w:hAnsi="Times New Roman" w:cs="Times New Roman"/>
          <w:sz w:val="24"/>
          <w:szCs w:val="24"/>
          <w:u w:val="single"/>
        </w:rPr>
        <w:t xml:space="preserve"> of Orazio</w:t>
      </w:r>
      <w:r w:rsidR="00BE363F" w:rsidRPr="00AE71E4">
        <w:rPr>
          <w:rFonts w:ascii="Times New Roman" w:hAnsi="Times New Roman" w:cs="Times New Roman"/>
          <w:sz w:val="24"/>
          <w:szCs w:val="24"/>
        </w:rPr>
        <w:t>, 68 Mass. App. Ct. 213, 221 (2007) (</w:t>
      </w:r>
      <w:r w:rsidR="006E049B">
        <w:rPr>
          <w:rFonts w:ascii="Times New Roman" w:hAnsi="Times New Roman" w:cs="Times New Roman"/>
          <w:sz w:val="24"/>
          <w:szCs w:val="24"/>
        </w:rPr>
        <w:t>holding that</w:t>
      </w:r>
      <w:r w:rsidR="00FC4681">
        <w:rPr>
          <w:rFonts w:ascii="Times New Roman" w:hAnsi="Times New Roman" w:cs="Times New Roman"/>
          <w:sz w:val="24"/>
          <w:szCs w:val="24"/>
        </w:rPr>
        <w:t xml:space="preserve"> judge’s sua sponte transformation of 72-</w:t>
      </w:r>
      <w:r w:rsidR="00AE5298">
        <w:rPr>
          <w:rFonts w:ascii="Times New Roman" w:hAnsi="Times New Roman" w:cs="Times New Roman"/>
          <w:sz w:val="24"/>
          <w:szCs w:val="24"/>
        </w:rPr>
        <w:t>hour hearing into trial on the merits violated due process</w:t>
      </w:r>
      <w:r w:rsidR="00FC4681">
        <w:rPr>
          <w:rFonts w:ascii="Times New Roman" w:hAnsi="Times New Roman" w:cs="Times New Roman"/>
          <w:sz w:val="24"/>
          <w:szCs w:val="24"/>
        </w:rPr>
        <w:t>, as the</w:t>
      </w:r>
      <w:r w:rsidR="00AE5298">
        <w:rPr>
          <w:rFonts w:ascii="Times New Roman" w:hAnsi="Times New Roman" w:cs="Times New Roman"/>
          <w:sz w:val="24"/>
          <w:szCs w:val="24"/>
        </w:rPr>
        <w:t xml:space="preserve"> parties could</w:t>
      </w:r>
      <w:r w:rsidR="00126733">
        <w:rPr>
          <w:rFonts w:ascii="Times New Roman" w:hAnsi="Times New Roman" w:cs="Times New Roman"/>
          <w:sz w:val="24"/>
          <w:szCs w:val="24"/>
        </w:rPr>
        <w:t xml:space="preserve"> not effectively rebut adverse allegations</w:t>
      </w:r>
      <w:r w:rsidR="00BE363F" w:rsidRPr="00AE71E4">
        <w:rPr>
          <w:rFonts w:ascii="Times New Roman" w:hAnsi="Times New Roman" w:cs="Times New Roman"/>
          <w:sz w:val="24"/>
          <w:szCs w:val="24"/>
        </w:rPr>
        <w:t>).</w:t>
      </w:r>
    </w:p>
    <w:p w14:paraId="506F77CE" w14:textId="77777777" w:rsidR="00931C10" w:rsidRPr="00AE71E4" w:rsidRDefault="00931C10" w:rsidP="00BC2B05">
      <w:pPr>
        <w:spacing w:line="480" w:lineRule="auto"/>
        <w:ind w:firstLine="720"/>
        <w:rPr>
          <w:rFonts w:ascii="Times New Roman" w:hAnsi="Times New Roman" w:cs="Times New Roman"/>
          <w:sz w:val="24"/>
          <w:szCs w:val="24"/>
        </w:rPr>
      </w:pPr>
    </w:p>
    <w:p w14:paraId="1A9BF1B9" w14:textId="606B23F6" w:rsidR="00D83ADD" w:rsidRPr="00AE71E4" w:rsidRDefault="00B700BE" w:rsidP="00B700BE">
      <w:pPr>
        <w:pStyle w:val="ListParagraph"/>
        <w:spacing w:after="0" w:line="240" w:lineRule="auto"/>
        <w:ind w:left="1440" w:hanging="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F16DE4" w:rsidRPr="00AE71E4">
        <w:rPr>
          <w:rFonts w:ascii="Times New Roman" w:hAnsi="Times New Roman" w:cs="Times New Roman"/>
          <w:b/>
          <w:sz w:val="24"/>
          <w:szCs w:val="24"/>
        </w:rPr>
        <w:t xml:space="preserve">Massachusetts law recognizes in both criminal and civil contexts that </w:t>
      </w:r>
      <w:r w:rsidR="005D3B1D" w:rsidRPr="00AE71E4">
        <w:rPr>
          <w:rFonts w:ascii="Times New Roman" w:hAnsi="Times New Roman" w:cs="Times New Roman"/>
          <w:b/>
          <w:sz w:val="24"/>
          <w:szCs w:val="24"/>
        </w:rPr>
        <w:t>pleadings must lay out the allegations against a party with reasonable specificity, and that pleadings that mislead a litigant about the focus of the allegations a</w:t>
      </w:r>
      <w:r w:rsidR="00D83ADD" w:rsidRPr="00AE71E4">
        <w:rPr>
          <w:rFonts w:ascii="Times New Roman" w:hAnsi="Times New Roman" w:cs="Times New Roman"/>
          <w:b/>
          <w:sz w:val="24"/>
          <w:szCs w:val="24"/>
        </w:rPr>
        <w:t>gainst them violate due process</w:t>
      </w:r>
      <w:r w:rsidR="00607A4E" w:rsidRPr="00AE71E4">
        <w:rPr>
          <w:rFonts w:ascii="Times New Roman" w:hAnsi="Times New Roman" w:cs="Times New Roman"/>
          <w:b/>
          <w:sz w:val="24"/>
          <w:szCs w:val="24"/>
        </w:rPr>
        <w:t>.</w:t>
      </w:r>
    </w:p>
    <w:p w14:paraId="631387C3" w14:textId="77777777" w:rsidR="00B700BE" w:rsidRDefault="00B700BE" w:rsidP="00B700BE">
      <w:pPr>
        <w:spacing w:after="0" w:line="240" w:lineRule="auto"/>
        <w:ind w:firstLine="720"/>
        <w:rPr>
          <w:rFonts w:ascii="Times New Roman" w:hAnsi="Times New Roman" w:cs="Times New Roman"/>
          <w:sz w:val="24"/>
          <w:szCs w:val="24"/>
        </w:rPr>
      </w:pPr>
    </w:p>
    <w:p w14:paraId="0C481512" w14:textId="5F8B5EDE" w:rsidR="008F4E86" w:rsidRPr="00AE71E4" w:rsidRDefault="00A2575C" w:rsidP="00BC2B05">
      <w:pPr>
        <w:spacing w:line="480" w:lineRule="auto"/>
        <w:ind w:firstLine="720"/>
        <w:rPr>
          <w:rFonts w:ascii="Times New Roman" w:hAnsi="Times New Roman" w:cs="Times New Roman"/>
          <w:sz w:val="24"/>
          <w:szCs w:val="24"/>
        </w:rPr>
      </w:pPr>
      <w:r w:rsidRPr="00AE71E4">
        <w:rPr>
          <w:rFonts w:ascii="Times New Roman" w:hAnsi="Times New Roman" w:cs="Times New Roman"/>
          <w:sz w:val="24"/>
          <w:szCs w:val="24"/>
        </w:rPr>
        <w:t xml:space="preserve">In the </w:t>
      </w:r>
      <w:r w:rsidR="00201C29" w:rsidRPr="00AE71E4">
        <w:rPr>
          <w:rFonts w:ascii="Times New Roman" w:hAnsi="Times New Roman" w:cs="Times New Roman"/>
          <w:sz w:val="24"/>
          <w:szCs w:val="24"/>
        </w:rPr>
        <w:t>prison discipline</w:t>
      </w:r>
      <w:r w:rsidRPr="00AE71E4">
        <w:rPr>
          <w:rFonts w:ascii="Times New Roman" w:hAnsi="Times New Roman" w:cs="Times New Roman"/>
          <w:sz w:val="24"/>
          <w:szCs w:val="24"/>
        </w:rPr>
        <w:t xml:space="preserve"> context, </w:t>
      </w:r>
      <w:r w:rsidR="00E266ED" w:rsidRPr="00AE71E4">
        <w:rPr>
          <w:rFonts w:ascii="Times New Roman" w:hAnsi="Times New Roman" w:cs="Times New Roman"/>
          <w:sz w:val="24"/>
          <w:szCs w:val="24"/>
        </w:rPr>
        <w:t>the Supreme Court</w:t>
      </w:r>
      <w:r w:rsidRPr="00AE71E4">
        <w:rPr>
          <w:rFonts w:ascii="Times New Roman" w:hAnsi="Times New Roman" w:cs="Times New Roman"/>
          <w:sz w:val="24"/>
          <w:szCs w:val="24"/>
        </w:rPr>
        <w:t xml:space="preserve"> ha</w:t>
      </w:r>
      <w:r w:rsidR="00E266ED" w:rsidRPr="00AE71E4">
        <w:rPr>
          <w:rFonts w:ascii="Times New Roman" w:hAnsi="Times New Roman" w:cs="Times New Roman"/>
          <w:sz w:val="24"/>
          <w:szCs w:val="24"/>
        </w:rPr>
        <w:t>s</w:t>
      </w:r>
      <w:r w:rsidRPr="00AE71E4">
        <w:rPr>
          <w:rFonts w:ascii="Times New Roman" w:hAnsi="Times New Roman" w:cs="Times New Roman"/>
          <w:sz w:val="24"/>
          <w:szCs w:val="24"/>
        </w:rPr>
        <w:t xml:space="preserve"> recognized that</w:t>
      </w:r>
      <w:r w:rsidR="00B700BE">
        <w:rPr>
          <w:rFonts w:ascii="Times New Roman" w:hAnsi="Times New Roman" w:cs="Times New Roman"/>
          <w:sz w:val="24"/>
          <w:szCs w:val="24"/>
        </w:rPr>
        <w:t xml:space="preserve"> prison officials must give the inmate</w:t>
      </w:r>
      <w:r w:rsidRPr="00AE71E4">
        <w:rPr>
          <w:rFonts w:ascii="Times New Roman" w:hAnsi="Times New Roman" w:cs="Times New Roman"/>
          <w:sz w:val="24"/>
          <w:szCs w:val="24"/>
        </w:rPr>
        <w:t xml:space="preserve"> </w:t>
      </w:r>
      <w:r w:rsidR="00A059DD" w:rsidRPr="00AE71E4">
        <w:rPr>
          <w:rFonts w:ascii="Times New Roman" w:hAnsi="Times New Roman" w:cs="Times New Roman"/>
          <w:sz w:val="24"/>
          <w:szCs w:val="24"/>
        </w:rPr>
        <w:t xml:space="preserve">a clear </w:t>
      </w:r>
      <w:r w:rsidR="00B700BE">
        <w:rPr>
          <w:rFonts w:ascii="Times New Roman" w:hAnsi="Times New Roman" w:cs="Times New Roman"/>
          <w:sz w:val="24"/>
          <w:szCs w:val="24"/>
        </w:rPr>
        <w:t xml:space="preserve">written </w:t>
      </w:r>
      <w:r w:rsidR="00A059DD" w:rsidRPr="00AE71E4">
        <w:rPr>
          <w:rFonts w:ascii="Times New Roman" w:hAnsi="Times New Roman" w:cs="Times New Roman"/>
          <w:sz w:val="24"/>
          <w:szCs w:val="24"/>
        </w:rPr>
        <w:t xml:space="preserve">statement of the particular charges </w:t>
      </w:r>
      <w:r w:rsidR="00B700BE">
        <w:rPr>
          <w:rFonts w:ascii="Times New Roman" w:hAnsi="Times New Roman" w:cs="Times New Roman"/>
          <w:sz w:val="24"/>
          <w:szCs w:val="24"/>
        </w:rPr>
        <w:t>in order to meet due process notice requirements</w:t>
      </w:r>
      <w:r w:rsidR="00725C5C" w:rsidRPr="00AE71E4">
        <w:rPr>
          <w:rFonts w:ascii="Times New Roman" w:hAnsi="Times New Roman" w:cs="Times New Roman"/>
          <w:sz w:val="24"/>
          <w:szCs w:val="24"/>
        </w:rPr>
        <w:t xml:space="preserve">; without that statement a defendant cannot prepare his defense. </w:t>
      </w:r>
      <w:r w:rsidR="00B700BE">
        <w:rPr>
          <w:rFonts w:ascii="Times New Roman" w:hAnsi="Times New Roman" w:cs="Times New Roman"/>
          <w:sz w:val="24"/>
          <w:szCs w:val="24"/>
        </w:rPr>
        <w:t xml:space="preserve"> </w:t>
      </w:r>
      <w:r w:rsidR="00725C5C" w:rsidRPr="00AE71E4">
        <w:rPr>
          <w:rFonts w:ascii="Times New Roman" w:hAnsi="Times New Roman" w:cs="Times New Roman"/>
          <w:sz w:val="24"/>
          <w:szCs w:val="24"/>
          <w:u w:val="single"/>
        </w:rPr>
        <w:t>See</w:t>
      </w:r>
      <w:r w:rsidR="00725C5C" w:rsidRPr="00AE71E4">
        <w:rPr>
          <w:rFonts w:ascii="Times New Roman" w:hAnsi="Times New Roman" w:cs="Times New Roman"/>
          <w:sz w:val="24"/>
          <w:szCs w:val="24"/>
        </w:rPr>
        <w:t xml:space="preserve"> </w:t>
      </w:r>
      <w:r w:rsidR="008D1038" w:rsidRPr="00AE71E4">
        <w:rPr>
          <w:rFonts w:ascii="Times New Roman" w:hAnsi="Times New Roman" w:cs="Times New Roman"/>
          <w:sz w:val="24"/>
          <w:szCs w:val="24"/>
          <w:u w:val="single"/>
        </w:rPr>
        <w:t>Wolff v. McDonnell</w:t>
      </w:r>
      <w:r w:rsidR="008D1038" w:rsidRPr="00AE71E4">
        <w:rPr>
          <w:rFonts w:ascii="Times New Roman" w:hAnsi="Times New Roman" w:cs="Times New Roman"/>
          <w:sz w:val="24"/>
          <w:szCs w:val="24"/>
        </w:rPr>
        <w:t>, 418 U.S. 539, 56</w:t>
      </w:r>
      <w:r w:rsidR="00B700BE">
        <w:rPr>
          <w:rFonts w:ascii="Times New Roman" w:hAnsi="Times New Roman" w:cs="Times New Roman"/>
          <w:sz w:val="24"/>
          <w:szCs w:val="24"/>
        </w:rPr>
        <w:t>3-6</w:t>
      </w:r>
      <w:r w:rsidR="008D1038" w:rsidRPr="00AE71E4">
        <w:rPr>
          <w:rFonts w:ascii="Times New Roman" w:hAnsi="Times New Roman" w:cs="Times New Roman"/>
          <w:sz w:val="24"/>
          <w:szCs w:val="24"/>
        </w:rPr>
        <w:t xml:space="preserve">4 (1974) </w:t>
      </w:r>
      <w:r w:rsidR="00725C5C" w:rsidRPr="00AE71E4">
        <w:rPr>
          <w:rFonts w:ascii="Times New Roman" w:hAnsi="Times New Roman" w:cs="Times New Roman"/>
          <w:sz w:val="24"/>
          <w:szCs w:val="24"/>
        </w:rPr>
        <w:t>(“Part of the function of notice is to give the charged party a chance to marshal the facts in his defense and to clarify what the charges are</w:t>
      </w:r>
      <w:r w:rsidR="00E266ED" w:rsidRPr="00AE71E4">
        <w:rPr>
          <w:rFonts w:ascii="Times New Roman" w:hAnsi="Times New Roman" w:cs="Times New Roman"/>
          <w:sz w:val="24"/>
          <w:szCs w:val="24"/>
        </w:rPr>
        <w:t>.</w:t>
      </w:r>
      <w:r w:rsidR="00725C5C" w:rsidRPr="00AE71E4">
        <w:rPr>
          <w:rFonts w:ascii="Times New Roman" w:hAnsi="Times New Roman" w:cs="Times New Roman"/>
          <w:sz w:val="24"/>
          <w:szCs w:val="24"/>
        </w:rPr>
        <w:t>”)</w:t>
      </w:r>
      <w:r w:rsidR="00E266ED" w:rsidRPr="00AE71E4">
        <w:rPr>
          <w:rFonts w:ascii="Times New Roman" w:hAnsi="Times New Roman" w:cs="Times New Roman"/>
          <w:sz w:val="24"/>
          <w:szCs w:val="24"/>
        </w:rPr>
        <w:t>.</w:t>
      </w:r>
      <w:r w:rsidR="00DD7AEE" w:rsidRPr="00AE71E4">
        <w:rPr>
          <w:rFonts w:ascii="Times New Roman" w:hAnsi="Times New Roman" w:cs="Times New Roman"/>
          <w:sz w:val="24"/>
          <w:szCs w:val="24"/>
        </w:rPr>
        <w:t xml:space="preserve"> </w:t>
      </w:r>
      <w:r w:rsidR="00B700BE">
        <w:rPr>
          <w:rFonts w:ascii="Times New Roman" w:hAnsi="Times New Roman" w:cs="Times New Roman"/>
          <w:sz w:val="24"/>
          <w:szCs w:val="24"/>
        </w:rPr>
        <w:t xml:space="preserve"> </w:t>
      </w:r>
      <w:r w:rsidR="00DD7AEE" w:rsidRPr="00AE71E4">
        <w:rPr>
          <w:rFonts w:ascii="Times New Roman" w:hAnsi="Times New Roman" w:cs="Times New Roman"/>
          <w:sz w:val="24"/>
          <w:szCs w:val="24"/>
        </w:rPr>
        <w:t xml:space="preserve">When the </w:t>
      </w:r>
      <w:r w:rsidR="001D736E" w:rsidRPr="00AE71E4">
        <w:rPr>
          <w:rFonts w:ascii="Times New Roman" w:hAnsi="Times New Roman" w:cs="Times New Roman"/>
          <w:sz w:val="24"/>
          <w:szCs w:val="24"/>
        </w:rPr>
        <w:t>“nature of the charges or the evidence relied upon”</w:t>
      </w:r>
      <w:r w:rsidR="00DD7AEE" w:rsidRPr="00AE71E4">
        <w:rPr>
          <w:rFonts w:ascii="Times New Roman" w:hAnsi="Times New Roman" w:cs="Times New Roman"/>
          <w:sz w:val="24"/>
          <w:szCs w:val="24"/>
        </w:rPr>
        <w:t xml:space="preserve"> evolve</w:t>
      </w:r>
      <w:r w:rsidR="00B700BE">
        <w:rPr>
          <w:rFonts w:ascii="Times New Roman" w:hAnsi="Times New Roman" w:cs="Times New Roman"/>
          <w:sz w:val="24"/>
          <w:szCs w:val="24"/>
        </w:rPr>
        <w:t>s</w:t>
      </w:r>
      <w:r w:rsidR="00DD7AEE" w:rsidRPr="00AE71E4">
        <w:rPr>
          <w:rFonts w:ascii="Times New Roman" w:hAnsi="Times New Roman" w:cs="Times New Roman"/>
          <w:sz w:val="24"/>
          <w:szCs w:val="24"/>
        </w:rPr>
        <w:t xml:space="preserve"> with the course of the investigation, </w:t>
      </w:r>
      <w:r w:rsidR="00771E12" w:rsidRPr="00AE71E4">
        <w:rPr>
          <w:rFonts w:ascii="Times New Roman" w:hAnsi="Times New Roman" w:cs="Times New Roman"/>
          <w:sz w:val="24"/>
          <w:szCs w:val="24"/>
        </w:rPr>
        <w:t>the defendant is no longer properly notified.</w:t>
      </w:r>
      <w:r w:rsidR="001D736E" w:rsidRPr="00AE71E4">
        <w:rPr>
          <w:rFonts w:ascii="Times New Roman" w:hAnsi="Times New Roman" w:cs="Times New Roman"/>
          <w:sz w:val="24"/>
          <w:szCs w:val="24"/>
        </w:rPr>
        <w:t xml:space="preserve"> </w:t>
      </w:r>
      <w:r w:rsidR="00B700BE">
        <w:rPr>
          <w:rFonts w:ascii="Times New Roman" w:hAnsi="Times New Roman" w:cs="Times New Roman"/>
          <w:sz w:val="24"/>
          <w:szCs w:val="24"/>
        </w:rPr>
        <w:t xml:space="preserve"> </w:t>
      </w:r>
      <w:r w:rsidR="001D736E" w:rsidRPr="00AE71E4">
        <w:rPr>
          <w:rFonts w:ascii="Times New Roman" w:hAnsi="Times New Roman" w:cs="Times New Roman"/>
          <w:sz w:val="24"/>
          <w:szCs w:val="24"/>
          <w:u w:val="single"/>
        </w:rPr>
        <w:t>Id.</w:t>
      </w:r>
      <w:r w:rsidR="007205AC" w:rsidRPr="00AE71E4">
        <w:rPr>
          <w:rFonts w:ascii="Times New Roman" w:hAnsi="Times New Roman" w:cs="Times New Roman"/>
          <w:sz w:val="24"/>
          <w:szCs w:val="24"/>
        </w:rPr>
        <w:t xml:space="preserve"> at 564</w:t>
      </w:r>
      <w:r w:rsidR="007F6C5C" w:rsidRPr="00AE71E4">
        <w:rPr>
          <w:rFonts w:ascii="Times New Roman" w:hAnsi="Times New Roman" w:cs="Times New Roman"/>
          <w:sz w:val="24"/>
          <w:szCs w:val="24"/>
        </w:rPr>
        <w:t>.</w:t>
      </w:r>
      <w:r w:rsidR="007F6C5C" w:rsidRPr="00AE71E4">
        <w:rPr>
          <w:rStyle w:val="FootnoteReference"/>
          <w:rFonts w:ascii="Times New Roman" w:hAnsi="Times New Roman" w:cs="Times New Roman"/>
          <w:sz w:val="24"/>
          <w:szCs w:val="24"/>
        </w:rPr>
        <w:footnoteReference w:id="1"/>
      </w:r>
    </w:p>
    <w:p w14:paraId="77C562AF" w14:textId="34F2BF3C" w:rsidR="00711FFE" w:rsidRDefault="00201C29" w:rsidP="00BC2B05">
      <w:pPr>
        <w:spacing w:line="480" w:lineRule="auto"/>
        <w:rPr>
          <w:rFonts w:ascii="Times New Roman" w:hAnsi="Times New Roman" w:cs="Times New Roman"/>
          <w:sz w:val="24"/>
          <w:szCs w:val="24"/>
        </w:rPr>
      </w:pPr>
      <w:r w:rsidRPr="00AE71E4">
        <w:rPr>
          <w:rFonts w:ascii="Times New Roman" w:hAnsi="Times New Roman" w:cs="Times New Roman"/>
          <w:sz w:val="24"/>
          <w:szCs w:val="24"/>
        </w:rPr>
        <w:tab/>
      </w:r>
      <w:r w:rsidR="004D47BE">
        <w:rPr>
          <w:rFonts w:ascii="Times New Roman" w:hAnsi="Times New Roman" w:cs="Times New Roman"/>
          <w:sz w:val="24"/>
          <w:szCs w:val="24"/>
        </w:rPr>
        <w:t>In circumstances less compelling than the possible permanent loss of a child, insufficient notice of allegations was deemed a deprivation of due process.  For example, i</w:t>
      </w:r>
      <w:r w:rsidR="0066045A" w:rsidRPr="00AE71E4">
        <w:rPr>
          <w:rFonts w:ascii="Times New Roman" w:hAnsi="Times New Roman" w:cs="Times New Roman"/>
          <w:sz w:val="24"/>
          <w:szCs w:val="24"/>
        </w:rPr>
        <w:t xml:space="preserve">n the licensing context, </w:t>
      </w:r>
      <w:r w:rsidR="00554EC4" w:rsidRPr="00AE71E4">
        <w:rPr>
          <w:rFonts w:ascii="Times New Roman" w:hAnsi="Times New Roman" w:cs="Times New Roman"/>
          <w:sz w:val="24"/>
          <w:szCs w:val="24"/>
        </w:rPr>
        <w:t xml:space="preserve">notice </w:t>
      </w:r>
      <w:r w:rsidR="001B7397">
        <w:rPr>
          <w:rFonts w:ascii="Times New Roman" w:hAnsi="Times New Roman" w:cs="Times New Roman"/>
          <w:sz w:val="24"/>
          <w:szCs w:val="24"/>
        </w:rPr>
        <w:t>must be</w:t>
      </w:r>
      <w:r w:rsidR="00AC5B34" w:rsidRPr="00AE71E4">
        <w:rPr>
          <w:rFonts w:ascii="Times New Roman" w:hAnsi="Times New Roman" w:cs="Times New Roman"/>
          <w:sz w:val="24"/>
          <w:szCs w:val="24"/>
        </w:rPr>
        <w:t xml:space="preserve"> given </w:t>
      </w:r>
      <w:r w:rsidR="00B43BD3" w:rsidRPr="00AE71E4">
        <w:rPr>
          <w:rFonts w:ascii="Times New Roman" w:hAnsi="Times New Roman" w:cs="Times New Roman"/>
          <w:sz w:val="24"/>
          <w:szCs w:val="24"/>
        </w:rPr>
        <w:t>“with sufficient particularity to apprise the licensee of the charges to be met and enable him to prepare his case</w:t>
      </w:r>
      <w:r w:rsidR="006D51EC" w:rsidRPr="00AE71E4">
        <w:rPr>
          <w:rFonts w:ascii="Times New Roman" w:hAnsi="Times New Roman" w:cs="Times New Roman"/>
          <w:sz w:val="24"/>
          <w:szCs w:val="24"/>
        </w:rPr>
        <w:t>.</w:t>
      </w:r>
      <w:r w:rsidR="00B43BD3" w:rsidRPr="00AE71E4">
        <w:rPr>
          <w:rFonts w:ascii="Times New Roman" w:hAnsi="Times New Roman" w:cs="Times New Roman"/>
          <w:sz w:val="24"/>
          <w:szCs w:val="24"/>
        </w:rPr>
        <w:t xml:space="preserve">” </w:t>
      </w:r>
      <w:r w:rsidR="00243A9B" w:rsidRPr="00AE71E4">
        <w:rPr>
          <w:rFonts w:ascii="Times New Roman" w:hAnsi="Times New Roman" w:cs="Times New Roman"/>
          <w:sz w:val="24"/>
          <w:szCs w:val="24"/>
          <w:u w:val="single"/>
        </w:rPr>
        <w:t>Foster from Gloucester, Inc. v. City Council of Gloucester</w:t>
      </w:r>
      <w:r w:rsidR="00243A9B" w:rsidRPr="00AE71E4">
        <w:rPr>
          <w:rFonts w:ascii="Times New Roman" w:hAnsi="Times New Roman" w:cs="Times New Roman"/>
          <w:sz w:val="24"/>
          <w:szCs w:val="24"/>
        </w:rPr>
        <w:t>, 10 Mass. App. Ct. 284, 289 (1980)</w:t>
      </w:r>
      <w:r w:rsidR="00BD7892">
        <w:rPr>
          <w:rFonts w:ascii="Times New Roman" w:hAnsi="Times New Roman" w:cs="Times New Roman"/>
          <w:sz w:val="24"/>
          <w:szCs w:val="24"/>
        </w:rPr>
        <w:t>.</w:t>
      </w:r>
      <w:r w:rsidR="001B7397">
        <w:rPr>
          <w:rFonts w:ascii="Times New Roman" w:hAnsi="Times New Roman" w:cs="Times New Roman"/>
          <w:sz w:val="24"/>
          <w:szCs w:val="24"/>
        </w:rPr>
        <w:t xml:space="preserve"> </w:t>
      </w:r>
      <w:r w:rsidR="00233AB2" w:rsidRPr="00AE71E4">
        <w:rPr>
          <w:rFonts w:ascii="Times New Roman" w:hAnsi="Times New Roman" w:cs="Times New Roman"/>
          <w:sz w:val="24"/>
          <w:szCs w:val="24"/>
        </w:rPr>
        <w:t xml:space="preserve"> </w:t>
      </w:r>
      <w:r w:rsidR="00E536B7" w:rsidRPr="00AE71E4">
        <w:rPr>
          <w:rFonts w:ascii="Times New Roman" w:hAnsi="Times New Roman" w:cs="Times New Roman"/>
          <w:sz w:val="24"/>
          <w:szCs w:val="24"/>
        </w:rPr>
        <w:t xml:space="preserve">Where the notice is </w:t>
      </w:r>
      <w:r w:rsidR="00E536B7" w:rsidRPr="00AE71E4">
        <w:rPr>
          <w:rFonts w:ascii="Times New Roman" w:hAnsi="Times New Roman" w:cs="Times New Roman"/>
          <w:i/>
          <w:sz w:val="24"/>
          <w:szCs w:val="24"/>
        </w:rPr>
        <w:t>misleading</w:t>
      </w:r>
      <w:r w:rsidR="00E536B7" w:rsidRPr="00AE71E4">
        <w:rPr>
          <w:rFonts w:ascii="Times New Roman" w:hAnsi="Times New Roman" w:cs="Times New Roman"/>
          <w:sz w:val="24"/>
          <w:szCs w:val="24"/>
        </w:rPr>
        <w:t xml:space="preserve"> </w:t>
      </w:r>
      <w:r w:rsidR="0062201E" w:rsidRPr="00AE71E4">
        <w:rPr>
          <w:rFonts w:ascii="Times New Roman" w:hAnsi="Times New Roman" w:cs="Times New Roman"/>
          <w:sz w:val="24"/>
          <w:szCs w:val="24"/>
        </w:rPr>
        <w:t xml:space="preserve">about what </w:t>
      </w:r>
      <w:r w:rsidR="00EB3765" w:rsidRPr="00AE71E4">
        <w:rPr>
          <w:rFonts w:ascii="Times New Roman" w:hAnsi="Times New Roman" w:cs="Times New Roman"/>
          <w:sz w:val="24"/>
          <w:szCs w:val="24"/>
        </w:rPr>
        <w:t xml:space="preserve">grounds or </w:t>
      </w:r>
      <w:r w:rsidR="004F37F3" w:rsidRPr="00AE71E4">
        <w:rPr>
          <w:rFonts w:ascii="Times New Roman" w:hAnsi="Times New Roman" w:cs="Times New Roman"/>
          <w:sz w:val="24"/>
          <w:szCs w:val="24"/>
        </w:rPr>
        <w:t xml:space="preserve">factual </w:t>
      </w:r>
      <w:r w:rsidR="00EB3765" w:rsidRPr="00AE71E4">
        <w:rPr>
          <w:rFonts w:ascii="Times New Roman" w:hAnsi="Times New Roman" w:cs="Times New Roman"/>
          <w:sz w:val="24"/>
          <w:szCs w:val="24"/>
        </w:rPr>
        <w:t xml:space="preserve">allegations the state will proceed on, the notice is inadequate. </w:t>
      </w:r>
      <w:r w:rsidR="001B7397">
        <w:rPr>
          <w:rFonts w:ascii="Times New Roman" w:hAnsi="Times New Roman" w:cs="Times New Roman"/>
          <w:sz w:val="24"/>
          <w:szCs w:val="24"/>
        </w:rPr>
        <w:t xml:space="preserve"> </w:t>
      </w:r>
      <w:r w:rsidR="00EB3765" w:rsidRPr="00AE71E4">
        <w:rPr>
          <w:rFonts w:ascii="Times New Roman" w:hAnsi="Times New Roman" w:cs="Times New Roman"/>
          <w:sz w:val="24"/>
          <w:szCs w:val="24"/>
          <w:u w:val="single"/>
        </w:rPr>
        <w:t>See</w:t>
      </w:r>
      <w:r w:rsidR="00EB3765" w:rsidRPr="00AE71E4">
        <w:rPr>
          <w:rFonts w:ascii="Times New Roman" w:hAnsi="Times New Roman" w:cs="Times New Roman"/>
          <w:sz w:val="24"/>
          <w:szCs w:val="24"/>
        </w:rPr>
        <w:t xml:space="preserve"> </w:t>
      </w:r>
      <w:r w:rsidR="00AB2313" w:rsidRPr="00AE71E4">
        <w:rPr>
          <w:rFonts w:ascii="Times New Roman" w:hAnsi="Times New Roman" w:cs="Times New Roman"/>
          <w:sz w:val="24"/>
          <w:szCs w:val="24"/>
          <w:u w:val="single"/>
        </w:rPr>
        <w:t>Higgins v. Bd. of License Comm'rs of City of Quincy</w:t>
      </w:r>
      <w:r w:rsidR="00AB2313" w:rsidRPr="00AE71E4">
        <w:rPr>
          <w:rFonts w:ascii="Times New Roman" w:hAnsi="Times New Roman" w:cs="Times New Roman"/>
          <w:sz w:val="24"/>
          <w:szCs w:val="24"/>
        </w:rPr>
        <w:t xml:space="preserve">, 308 Mass. 142, 147 (1941) (holding that </w:t>
      </w:r>
      <w:r w:rsidR="009E3E0D" w:rsidRPr="00AE71E4">
        <w:rPr>
          <w:rFonts w:ascii="Times New Roman" w:hAnsi="Times New Roman" w:cs="Times New Roman"/>
          <w:sz w:val="24"/>
          <w:szCs w:val="24"/>
        </w:rPr>
        <w:t>notice alleg</w:t>
      </w:r>
      <w:r w:rsidR="00F422BB" w:rsidRPr="00AE71E4">
        <w:rPr>
          <w:rFonts w:ascii="Times New Roman" w:hAnsi="Times New Roman" w:cs="Times New Roman"/>
          <w:sz w:val="24"/>
          <w:szCs w:val="24"/>
        </w:rPr>
        <w:t xml:space="preserve">ing </w:t>
      </w:r>
      <w:r w:rsidR="00C125C8" w:rsidRPr="00AE71E4">
        <w:rPr>
          <w:rFonts w:ascii="Times New Roman" w:hAnsi="Times New Roman" w:cs="Times New Roman"/>
          <w:sz w:val="24"/>
          <w:szCs w:val="24"/>
        </w:rPr>
        <w:t>“[b]reach of conditions of said permit”</w:t>
      </w:r>
      <w:r w:rsidR="00F422BB" w:rsidRPr="00AE71E4">
        <w:rPr>
          <w:rFonts w:ascii="Times New Roman" w:hAnsi="Times New Roman" w:cs="Times New Roman"/>
          <w:sz w:val="24"/>
          <w:szCs w:val="24"/>
        </w:rPr>
        <w:t xml:space="preserve"> was not proper notice for charges </w:t>
      </w:r>
      <w:r w:rsidR="00D44544" w:rsidRPr="00AE71E4">
        <w:rPr>
          <w:rFonts w:ascii="Times New Roman" w:hAnsi="Times New Roman" w:cs="Times New Roman"/>
          <w:sz w:val="24"/>
          <w:szCs w:val="24"/>
        </w:rPr>
        <w:t xml:space="preserve">that he fraudulently </w:t>
      </w:r>
      <w:r w:rsidR="00D44544" w:rsidRPr="00AE71E4">
        <w:rPr>
          <w:rFonts w:ascii="Times New Roman" w:hAnsi="Times New Roman" w:cs="Times New Roman"/>
          <w:i/>
          <w:sz w:val="24"/>
          <w:szCs w:val="24"/>
        </w:rPr>
        <w:t>obtained</w:t>
      </w:r>
      <w:r w:rsidR="00D44544" w:rsidRPr="00AE71E4">
        <w:rPr>
          <w:rFonts w:ascii="Times New Roman" w:hAnsi="Times New Roman" w:cs="Times New Roman"/>
          <w:sz w:val="24"/>
          <w:szCs w:val="24"/>
        </w:rPr>
        <w:t xml:space="preserve"> the </w:t>
      </w:r>
      <w:r w:rsidR="00C125C8" w:rsidRPr="00AE71E4">
        <w:rPr>
          <w:rFonts w:ascii="Times New Roman" w:hAnsi="Times New Roman" w:cs="Times New Roman"/>
          <w:sz w:val="24"/>
          <w:szCs w:val="24"/>
        </w:rPr>
        <w:t>permit</w:t>
      </w:r>
      <w:r w:rsidR="00AB2313" w:rsidRPr="00AE71E4">
        <w:rPr>
          <w:rFonts w:ascii="Times New Roman" w:hAnsi="Times New Roman" w:cs="Times New Roman"/>
          <w:sz w:val="24"/>
          <w:szCs w:val="24"/>
        </w:rPr>
        <w:t>)</w:t>
      </w:r>
      <w:r w:rsidR="00233AB2" w:rsidRPr="00AE71E4">
        <w:rPr>
          <w:rFonts w:ascii="Times New Roman" w:hAnsi="Times New Roman" w:cs="Times New Roman"/>
          <w:sz w:val="24"/>
          <w:szCs w:val="24"/>
        </w:rPr>
        <w:t xml:space="preserve">. </w:t>
      </w:r>
      <w:r w:rsidR="001B7397">
        <w:rPr>
          <w:rFonts w:ascii="Times New Roman" w:hAnsi="Times New Roman" w:cs="Times New Roman"/>
          <w:sz w:val="24"/>
          <w:szCs w:val="24"/>
        </w:rPr>
        <w:t xml:space="preserve"> A licensee seeking greater specificity regarding the reasons for license suspension must ask for it in order to preserve the issue.  </w:t>
      </w:r>
      <w:r w:rsidR="001B7397" w:rsidRPr="001B7397">
        <w:rPr>
          <w:rFonts w:ascii="Times New Roman" w:hAnsi="Times New Roman" w:cs="Times New Roman"/>
          <w:sz w:val="24"/>
          <w:szCs w:val="24"/>
          <w:u w:val="single"/>
        </w:rPr>
        <w:t>See</w:t>
      </w:r>
      <w:r w:rsidR="001B7397">
        <w:rPr>
          <w:rFonts w:ascii="Times New Roman" w:hAnsi="Times New Roman" w:cs="Times New Roman"/>
          <w:sz w:val="24"/>
          <w:szCs w:val="24"/>
        </w:rPr>
        <w:t xml:space="preserve"> </w:t>
      </w:r>
      <w:r w:rsidR="001B7397" w:rsidRPr="00AE71E4">
        <w:rPr>
          <w:rFonts w:ascii="Times New Roman" w:hAnsi="Times New Roman" w:cs="Times New Roman"/>
          <w:sz w:val="24"/>
          <w:szCs w:val="24"/>
          <w:u w:val="single"/>
        </w:rPr>
        <w:t>Manchester v. Selectmen of Nantucket</w:t>
      </w:r>
      <w:r w:rsidR="001B7397" w:rsidRPr="00AE71E4">
        <w:rPr>
          <w:rFonts w:ascii="Times New Roman" w:hAnsi="Times New Roman" w:cs="Times New Roman"/>
          <w:sz w:val="24"/>
          <w:szCs w:val="24"/>
        </w:rPr>
        <w:t>, 335 Mass. 156, 159 (1956) (holding that party received insufficient notice, but in failing to ask</w:t>
      </w:r>
      <w:r w:rsidR="001B7397">
        <w:rPr>
          <w:rFonts w:ascii="Times New Roman" w:hAnsi="Times New Roman" w:cs="Times New Roman"/>
          <w:sz w:val="24"/>
          <w:szCs w:val="24"/>
        </w:rPr>
        <w:t xml:space="preserve"> before trial</w:t>
      </w:r>
      <w:r w:rsidR="001B7397" w:rsidRPr="00AE71E4">
        <w:rPr>
          <w:rFonts w:ascii="Times New Roman" w:hAnsi="Times New Roman" w:cs="Times New Roman"/>
          <w:sz w:val="24"/>
          <w:szCs w:val="24"/>
        </w:rPr>
        <w:t xml:space="preserve"> for greater specificity about the </w:t>
      </w:r>
      <w:r w:rsidR="001B7397">
        <w:rPr>
          <w:rFonts w:ascii="Times New Roman" w:hAnsi="Times New Roman" w:cs="Times New Roman"/>
          <w:sz w:val="24"/>
          <w:szCs w:val="24"/>
        </w:rPr>
        <w:t>allegations</w:t>
      </w:r>
      <w:r w:rsidR="001B7397" w:rsidRPr="00AE71E4">
        <w:rPr>
          <w:rFonts w:ascii="Times New Roman" w:hAnsi="Times New Roman" w:cs="Times New Roman"/>
          <w:sz w:val="24"/>
          <w:szCs w:val="24"/>
        </w:rPr>
        <w:t>, forfeited her right to challenge license suspension).</w:t>
      </w:r>
    </w:p>
    <w:p w14:paraId="475390BB" w14:textId="19C3E5CE" w:rsidR="00891F45" w:rsidRDefault="00891F45" w:rsidP="00BC2B05">
      <w:pPr>
        <w:spacing w:line="480" w:lineRule="auto"/>
        <w:rPr>
          <w:rFonts w:ascii="Times New Roman" w:hAnsi="Times New Roman" w:cs="Times New Roman"/>
          <w:sz w:val="24"/>
          <w:szCs w:val="24"/>
        </w:rPr>
      </w:pPr>
      <w:r>
        <w:rPr>
          <w:rFonts w:ascii="Times New Roman" w:hAnsi="Times New Roman" w:cs="Times New Roman"/>
          <w:sz w:val="24"/>
          <w:szCs w:val="24"/>
        </w:rPr>
        <w:tab/>
      </w:r>
      <w:r w:rsidR="004D47BE">
        <w:rPr>
          <w:rFonts w:ascii="Times New Roman" w:hAnsi="Times New Roman" w:cs="Times New Roman"/>
          <w:sz w:val="24"/>
          <w:szCs w:val="24"/>
        </w:rPr>
        <w:t>S</w:t>
      </w:r>
      <w:r w:rsidR="00954BAB">
        <w:rPr>
          <w:rFonts w:ascii="Times New Roman" w:hAnsi="Times New Roman" w:cs="Times New Roman"/>
          <w:sz w:val="24"/>
          <w:szCs w:val="24"/>
        </w:rPr>
        <w:t xml:space="preserve">imilarly, </w:t>
      </w:r>
      <w:r w:rsidR="004D47BE">
        <w:rPr>
          <w:rFonts w:ascii="Times New Roman" w:hAnsi="Times New Roman" w:cs="Times New Roman"/>
          <w:sz w:val="24"/>
          <w:szCs w:val="24"/>
        </w:rPr>
        <w:t>i</w:t>
      </w:r>
      <w:r w:rsidR="00471E15">
        <w:rPr>
          <w:rFonts w:ascii="Times New Roman" w:hAnsi="Times New Roman" w:cs="Times New Roman"/>
          <w:sz w:val="24"/>
          <w:szCs w:val="24"/>
        </w:rPr>
        <w:t xml:space="preserve">n </w:t>
      </w:r>
      <w:r w:rsidR="00471E15" w:rsidRPr="00AE71E4">
        <w:rPr>
          <w:rFonts w:ascii="Times New Roman" w:hAnsi="Times New Roman" w:cs="Times New Roman"/>
          <w:sz w:val="24"/>
          <w:szCs w:val="24"/>
          <w:u w:val="single"/>
        </w:rPr>
        <w:t>Highland Tap of Boston, Inc.</w:t>
      </w:r>
      <w:r w:rsidR="00306304" w:rsidRPr="00306304">
        <w:rPr>
          <w:rFonts w:ascii="Times New Roman" w:hAnsi="Times New Roman" w:cs="Times New Roman"/>
          <w:sz w:val="24"/>
          <w:szCs w:val="24"/>
        </w:rPr>
        <w:t xml:space="preserve">, </w:t>
      </w:r>
      <w:r w:rsidR="00A2651E">
        <w:rPr>
          <w:rFonts w:ascii="Times New Roman" w:hAnsi="Times New Roman" w:cs="Times New Roman"/>
          <w:sz w:val="24"/>
          <w:szCs w:val="24"/>
        </w:rPr>
        <w:t xml:space="preserve">a tavern </w:t>
      </w:r>
      <w:r w:rsidR="007F523D">
        <w:rPr>
          <w:rFonts w:ascii="Times New Roman" w:hAnsi="Times New Roman" w:cs="Times New Roman"/>
          <w:sz w:val="24"/>
          <w:szCs w:val="24"/>
        </w:rPr>
        <w:t xml:space="preserve">received a notice that the Mayor’s office was seeking to revoke the tavern’s entertainment license. </w:t>
      </w:r>
      <w:r w:rsidR="00CE29CB" w:rsidRPr="00AE71E4">
        <w:rPr>
          <w:rFonts w:ascii="Times New Roman" w:hAnsi="Times New Roman" w:cs="Times New Roman"/>
          <w:sz w:val="24"/>
          <w:szCs w:val="24"/>
        </w:rPr>
        <w:t xml:space="preserve">33 Mass. App. Ct. </w:t>
      </w:r>
      <w:r w:rsidR="00CB34F4">
        <w:rPr>
          <w:rFonts w:ascii="Times New Roman" w:hAnsi="Times New Roman" w:cs="Times New Roman"/>
          <w:sz w:val="24"/>
          <w:szCs w:val="24"/>
        </w:rPr>
        <w:t>at</w:t>
      </w:r>
      <w:r w:rsidR="00B20DA2">
        <w:rPr>
          <w:rFonts w:ascii="Times New Roman" w:hAnsi="Times New Roman" w:cs="Times New Roman"/>
          <w:sz w:val="24"/>
          <w:szCs w:val="24"/>
        </w:rPr>
        <w:t xml:space="preserve"> 570. </w:t>
      </w:r>
      <w:r w:rsidR="00954BAB">
        <w:rPr>
          <w:rFonts w:ascii="Times New Roman" w:hAnsi="Times New Roman" w:cs="Times New Roman"/>
          <w:sz w:val="24"/>
          <w:szCs w:val="24"/>
        </w:rPr>
        <w:t xml:space="preserve"> </w:t>
      </w:r>
      <w:r w:rsidR="007F523D">
        <w:rPr>
          <w:rFonts w:ascii="Times New Roman" w:hAnsi="Times New Roman" w:cs="Times New Roman"/>
          <w:sz w:val="24"/>
          <w:szCs w:val="24"/>
        </w:rPr>
        <w:t xml:space="preserve">The notice </w:t>
      </w:r>
      <w:r w:rsidR="00CE29CB">
        <w:rPr>
          <w:rFonts w:ascii="Times New Roman" w:hAnsi="Times New Roman" w:cs="Times New Roman"/>
          <w:sz w:val="24"/>
          <w:szCs w:val="24"/>
        </w:rPr>
        <w:t>stated that there had been</w:t>
      </w:r>
      <w:r w:rsidR="00B20DA2">
        <w:rPr>
          <w:rFonts w:ascii="Times New Roman" w:hAnsi="Times New Roman" w:cs="Times New Roman"/>
          <w:sz w:val="24"/>
          <w:szCs w:val="24"/>
        </w:rPr>
        <w:t xml:space="preserve"> several police reports </w:t>
      </w:r>
      <w:r w:rsidR="00AF1E29">
        <w:rPr>
          <w:rFonts w:ascii="Times New Roman" w:hAnsi="Times New Roman" w:cs="Times New Roman"/>
          <w:sz w:val="24"/>
          <w:szCs w:val="24"/>
        </w:rPr>
        <w:t>alleging that Highland Tap’s management was “inadequate</w:t>
      </w:r>
      <w:r w:rsidR="000637A3">
        <w:rPr>
          <w:rFonts w:ascii="Times New Roman" w:hAnsi="Times New Roman" w:cs="Times New Roman"/>
          <w:sz w:val="24"/>
          <w:szCs w:val="24"/>
        </w:rPr>
        <w:t>.”</w:t>
      </w:r>
      <w:r w:rsidR="00954BAB">
        <w:rPr>
          <w:rFonts w:ascii="Times New Roman" w:hAnsi="Times New Roman" w:cs="Times New Roman"/>
          <w:sz w:val="24"/>
          <w:szCs w:val="24"/>
        </w:rPr>
        <w:t xml:space="preserve"> </w:t>
      </w:r>
      <w:r w:rsidR="00AF1E29">
        <w:rPr>
          <w:rFonts w:ascii="Times New Roman" w:hAnsi="Times New Roman" w:cs="Times New Roman"/>
          <w:sz w:val="24"/>
          <w:szCs w:val="24"/>
        </w:rPr>
        <w:t xml:space="preserve"> </w:t>
      </w:r>
      <w:r w:rsidR="00AF1E29">
        <w:rPr>
          <w:rFonts w:ascii="Times New Roman" w:hAnsi="Times New Roman" w:cs="Times New Roman"/>
          <w:sz w:val="24"/>
          <w:szCs w:val="24"/>
          <w:u w:val="single"/>
        </w:rPr>
        <w:t>Id.</w:t>
      </w:r>
      <w:r w:rsidR="00884DC5" w:rsidRPr="00116CF7">
        <w:rPr>
          <w:rStyle w:val="FootnoteReference"/>
          <w:rFonts w:ascii="Times New Roman" w:hAnsi="Times New Roman" w:cs="Times New Roman"/>
          <w:sz w:val="24"/>
          <w:szCs w:val="24"/>
        </w:rPr>
        <w:footnoteReference w:id="2"/>
      </w:r>
      <w:r w:rsidR="00AF1E29" w:rsidRPr="00116CF7">
        <w:rPr>
          <w:rFonts w:ascii="Times New Roman" w:hAnsi="Times New Roman" w:cs="Times New Roman"/>
          <w:sz w:val="24"/>
          <w:szCs w:val="24"/>
        </w:rPr>
        <w:t xml:space="preserve"> </w:t>
      </w:r>
      <w:r w:rsidR="00954BAB">
        <w:rPr>
          <w:rFonts w:ascii="Times New Roman" w:hAnsi="Times New Roman" w:cs="Times New Roman"/>
          <w:sz w:val="24"/>
          <w:szCs w:val="24"/>
        </w:rPr>
        <w:t xml:space="preserve"> </w:t>
      </w:r>
      <w:r w:rsidR="00884DC5">
        <w:rPr>
          <w:rFonts w:ascii="Times New Roman" w:hAnsi="Times New Roman" w:cs="Times New Roman"/>
          <w:sz w:val="24"/>
          <w:szCs w:val="24"/>
        </w:rPr>
        <w:t>The notice did not specify</w:t>
      </w:r>
      <w:r w:rsidR="00CB34F4">
        <w:rPr>
          <w:rFonts w:ascii="Times New Roman" w:hAnsi="Times New Roman" w:cs="Times New Roman"/>
          <w:sz w:val="24"/>
          <w:szCs w:val="24"/>
        </w:rPr>
        <w:t xml:space="preserve"> what license regulations had been violated. </w:t>
      </w:r>
      <w:r w:rsidR="00CB34F4">
        <w:rPr>
          <w:rFonts w:ascii="Times New Roman" w:hAnsi="Times New Roman" w:cs="Times New Roman"/>
          <w:sz w:val="24"/>
          <w:szCs w:val="24"/>
          <w:u w:val="single"/>
        </w:rPr>
        <w:t>Id.</w:t>
      </w:r>
      <w:r w:rsidR="00CB34F4">
        <w:rPr>
          <w:rFonts w:ascii="Times New Roman" w:hAnsi="Times New Roman" w:cs="Times New Roman"/>
          <w:sz w:val="24"/>
          <w:szCs w:val="24"/>
        </w:rPr>
        <w:t xml:space="preserve"> </w:t>
      </w:r>
      <w:r w:rsidR="00B648F7">
        <w:rPr>
          <w:rFonts w:ascii="Times New Roman" w:hAnsi="Times New Roman" w:cs="Times New Roman"/>
          <w:sz w:val="24"/>
          <w:szCs w:val="24"/>
        </w:rPr>
        <w:t xml:space="preserve">At the actual hearing, the focus was still on the mismanagement of the property. </w:t>
      </w:r>
      <w:r w:rsidR="00954BAB">
        <w:rPr>
          <w:rFonts w:ascii="Times New Roman" w:hAnsi="Times New Roman" w:cs="Times New Roman"/>
          <w:sz w:val="24"/>
          <w:szCs w:val="24"/>
        </w:rPr>
        <w:t xml:space="preserve"> </w:t>
      </w:r>
      <w:r w:rsidR="00B648F7">
        <w:rPr>
          <w:rFonts w:ascii="Times New Roman" w:hAnsi="Times New Roman" w:cs="Times New Roman"/>
          <w:sz w:val="24"/>
          <w:szCs w:val="24"/>
          <w:u w:val="single"/>
        </w:rPr>
        <w:t>Id.</w:t>
      </w:r>
      <w:r w:rsidR="00B648F7">
        <w:rPr>
          <w:rFonts w:ascii="Times New Roman" w:hAnsi="Times New Roman" w:cs="Times New Roman"/>
          <w:sz w:val="24"/>
          <w:szCs w:val="24"/>
        </w:rPr>
        <w:t xml:space="preserve"> at 571. However, t</w:t>
      </w:r>
      <w:r w:rsidR="00CB34F4">
        <w:rPr>
          <w:rFonts w:ascii="Times New Roman" w:hAnsi="Times New Roman" w:cs="Times New Roman"/>
          <w:sz w:val="24"/>
          <w:szCs w:val="24"/>
        </w:rPr>
        <w:t>he</w:t>
      </w:r>
      <w:r w:rsidR="00551365">
        <w:rPr>
          <w:rFonts w:ascii="Times New Roman" w:hAnsi="Times New Roman" w:cs="Times New Roman"/>
          <w:sz w:val="24"/>
          <w:szCs w:val="24"/>
        </w:rPr>
        <w:t xml:space="preserve"> license was </w:t>
      </w:r>
      <w:r w:rsidR="00B648F7">
        <w:rPr>
          <w:rFonts w:ascii="Times New Roman" w:hAnsi="Times New Roman" w:cs="Times New Roman"/>
          <w:sz w:val="24"/>
          <w:szCs w:val="24"/>
        </w:rPr>
        <w:t xml:space="preserve">ultimately </w:t>
      </w:r>
      <w:r w:rsidR="00551365">
        <w:rPr>
          <w:rFonts w:ascii="Times New Roman" w:hAnsi="Times New Roman" w:cs="Times New Roman"/>
          <w:sz w:val="24"/>
          <w:szCs w:val="24"/>
        </w:rPr>
        <w:t xml:space="preserve">revoked because Highland Tap violated the zoning laws and presented nude entertainment without a petition; neither complaint had been included in the notice. </w:t>
      </w:r>
      <w:r w:rsidR="00954BAB">
        <w:rPr>
          <w:rFonts w:ascii="Times New Roman" w:hAnsi="Times New Roman" w:cs="Times New Roman"/>
          <w:sz w:val="24"/>
          <w:szCs w:val="24"/>
        </w:rPr>
        <w:t xml:space="preserve"> </w:t>
      </w:r>
      <w:r w:rsidR="00551365">
        <w:rPr>
          <w:rFonts w:ascii="Times New Roman" w:hAnsi="Times New Roman" w:cs="Times New Roman"/>
          <w:sz w:val="24"/>
          <w:szCs w:val="24"/>
          <w:u w:val="single"/>
        </w:rPr>
        <w:t>Id.</w:t>
      </w:r>
      <w:r w:rsidR="00CA2CB3">
        <w:rPr>
          <w:rFonts w:ascii="Times New Roman" w:hAnsi="Times New Roman" w:cs="Times New Roman"/>
          <w:sz w:val="24"/>
          <w:szCs w:val="24"/>
        </w:rPr>
        <w:t xml:space="preserve"> at 570–71.</w:t>
      </w:r>
      <w:r w:rsidR="004824F3">
        <w:rPr>
          <w:rFonts w:ascii="Times New Roman" w:hAnsi="Times New Roman" w:cs="Times New Roman"/>
          <w:sz w:val="24"/>
          <w:szCs w:val="24"/>
        </w:rPr>
        <w:t xml:space="preserve"> The reviewing court hel</w:t>
      </w:r>
      <w:r w:rsidR="00CC63CD">
        <w:rPr>
          <w:rFonts w:ascii="Times New Roman" w:hAnsi="Times New Roman" w:cs="Times New Roman"/>
          <w:sz w:val="24"/>
          <w:szCs w:val="24"/>
        </w:rPr>
        <w:t>d</w:t>
      </w:r>
      <w:r w:rsidR="004824F3">
        <w:rPr>
          <w:rFonts w:ascii="Times New Roman" w:hAnsi="Times New Roman" w:cs="Times New Roman"/>
          <w:sz w:val="24"/>
          <w:szCs w:val="24"/>
        </w:rPr>
        <w:t xml:space="preserve"> that </w:t>
      </w:r>
      <w:r w:rsidR="00B577A4">
        <w:rPr>
          <w:rFonts w:ascii="Times New Roman" w:hAnsi="Times New Roman" w:cs="Times New Roman"/>
          <w:sz w:val="24"/>
          <w:szCs w:val="24"/>
        </w:rPr>
        <w:t>the licensing authorities had deprived Highland Tap of due process.</w:t>
      </w:r>
      <w:r w:rsidR="00654ABB">
        <w:rPr>
          <w:rFonts w:ascii="Times New Roman" w:hAnsi="Times New Roman" w:cs="Times New Roman"/>
          <w:sz w:val="24"/>
          <w:szCs w:val="24"/>
        </w:rPr>
        <w:t xml:space="preserve"> </w:t>
      </w:r>
      <w:r w:rsidR="00954BAB">
        <w:rPr>
          <w:rFonts w:ascii="Times New Roman" w:hAnsi="Times New Roman" w:cs="Times New Roman"/>
          <w:sz w:val="24"/>
          <w:szCs w:val="24"/>
        </w:rPr>
        <w:t xml:space="preserve"> </w:t>
      </w:r>
      <w:r w:rsidR="00654ABB">
        <w:rPr>
          <w:rFonts w:ascii="Times New Roman" w:hAnsi="Times New Roman" w:cs="Times New Roman"/>
          <w:sz w:val="24"/>
          <w:szCs w:val="24"/>
          <w:u w:val="single"/>
        </w:rPr>
        <w:t>Id.</w:t>
      </w:r>
      <w:r w:rsidR="00654ABB">
        <w:rPr>
          <w:rFonts w:ascii="Times New Roman" w:hAnsi="Times New Roman" w:cs="Times New Roman"/>
          <w:sz w:val="24"/>
          <w:szCs w:val="24"/>
        </w:rPr>
        <w:t xml:space="preserve"> at 571–72.</w:t>
      </w:r>
      <w:r w:rsidR="00B5756F">
        <w:rPr>
          <w:rFonts w:ascii="Times New Roman" w:hAnsi="Times New Roman" w:cs="Times New Roman"/>
          <w:sz w:val="24"/>
          <w:szCs w:val="24"/>
        </w:rPr>
        <w:t xml:space="preserve"> </w:t>
      </w:r>
    </w:p>
    <w:p w14:paraId="68D9720D" w14:textId="2675F160" w:rsidR="00B5756F" w:rsidRPr="00954BAB" w:rsidRDefault="009C1DCD" w:rsidP="00954BA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sidRPr="00AE71E4">
        <w:rPr>
          <w:rFonts w:ascii="Times New Roman" w:hAnsi="Times New Roman" w:cs="Times New Roman"/>
          <w:sz w:val="24"/>
          <w:szCs w:val="24"/>
          <w:u w:val="single"/>
        </w:rPr>
        <w:t>Higgins</w:t>
      </w:r>
      <w:r w:rsidRPr="009C1DCD">
        <w:rPr>
          <w:rFonts w:ascii="Times New Roman" w:hAnsi="Times New Roman" w:cs="Times New Roman"/>
          <w:sz w:val="24"/>
          <w:szCs w:val="24"/>
        </w:rPr>
        <w:t xml:space="preserve">, </w:t>
      </w:r>
      <w:r w:rsidR="004D47BE">
        <w:rPr>
          <w:rFonts w:ascii="Times New Roman" w:hAnsi="Times New Roman" w:cs="Times New Roman"/>
          <w:sz w:val="24"/>
          <w:szCs w:val="24"/>
        </w:rPr>
        <w:t xml:space="preserve">cited above, </w:t>
      </w:r>
      <w:r w:rsidR="00A808D3">
        <w:rPr>
          <w:rFonts w:ascii="Times New Roman" w:hAnsi="Times New Roman" w:cs="Times New Roman"/>
          <w:sz w:val="24"/>
          <w:szCs w:val="24"/>
        </w:rPr>
        <w:t xml:space="preserve">the licensee </w:t>
      </w:r>
      <w:r w:rsidR="005D2982">
        <w:rPr>
          <w:rFonts w:ascii="Times New Roman" w:hAnsi="Times New Roman" w:cs="Times New Roman"/>
          <w:sz w:val="24"/>
          <w:szCs w:val="24"/>
        </w:rPr>
        <w:t xml:space="preserve">had received a notice alleging </w:t>
      </w:r>
      <w:r w:rsidR="005D2982" w:rsidRPr="00AE71E4">
        <w:rPr>
          <w:rFonts w:ascii="Times New Roman" w:hAnsi="Times New Roman" w:cs="Times New Roman"/>
          <w:sz w:val="24"/>
          <w:szCs w:val="24"/>
        </w:rPr>
        <w:t>“[b]reach of conditions of said permit</w:t>
      </w:r>
      <w:r w:rsidR="005D2982">
        <w:rPr>
          <w:rFonts w:ascii="Times New Roman" w:hAnsi="Times New Roman" w:cs="Times New Roman"/>
          <w:sz w:val="24"/>
          <w:szCs w:val="24"/>
        </w:rPr>
        <w:t>.</w:t>
      </w:r>
      <w:r w:rsidR="005D2982" w:rsidRPr="00AE71E4">
        <w:rPr>
          <w:rFonts w:ascii="Times New Roman" w:hAnsi="Times New Roman" w:cs="Times New Roman"/>
          <w:sz w:val="24"/>
          <w:szCs w:val="24"/>
        </w:rPr>
        <w:t xml:space="preserve">” </w:t>
      </w:r>
      <w:r w:rsidR="00954BAB">
        <w:rPr>
          <w:rFonts w:ascii="Times New Roman" w:hAnsi="Times New Roman" w:cs="Times New Roman"/>
          <w:sz w:val="24"/>
          <w:szCs w:val="24"/>
        </w:rPr>
        <w:t xml:space="preserve"> </w:t>
      </w:r>
      <w:r w:rsidRPr="00AE71E4">
        <w:rPr>
          <w:rFonts w:ascii="Times New Roman" w:hAnsi="Times New Roman" w:cs="Times New Roman"/>
          <w:sz w:val="24"/>
          <w:szCs w:val="24"/>
        </w:rPr>
        <w:t xml:space="preserve">308 Mass. </w:t>
      </w:r>
      <w:r w:rsidR="004D47BE">
        <w:rPr>
          <w:rFonts w:ascii="Times New Roman" w:hAnsi="Times New Roman" w:cs="Times New Roman"/>
          <w:sz w:val="24"/>
          <w:szCs w:val="24"/>
        </w:rPr>
        <w:t>a</w:t>
      </w:r>
      <w:r>
        <w:rPr>
          <w:rFonts w:ascii="Times New Roman" w:hAnsi="Times New Roman" w:cs="Times New Roman"/>
          <w:sz w:val="24"/>
          <w:szCs w:val="24"/>
        </w:rPr>
        <w:t>t 147.</w:t>
      </w:r>
      <w:r w:rsidR="005D2982">
        <w:rPr>
          <w:rFonts w:ascii="Times New Roman" w:hAnsi="Times New Roman" w:cs="Times New Roman"/>
          <w:sz w:val="24"/>
          <w:szCs w:val="24"/>
        </w:rPr>
        <w:t xml:space="preserve"> </w:t>
      </w:r>
      <w:r w:rsidR="00954BAB">
        <w:rPr>
          <w:rFonts w:ascii="Times New Roman" w:hAnsi="Times New Roman" w:cs="Times New Roman"/>
          <w:sz w:val="24"/>
          <w:szCs w:val="24"/>
        </w:rPr>
        <w:t xml:space="preserve"> </w:t>
      </w:r>
      <w:r w:rsidR="005D2982">
        <w:rPr>
          <w:rFonts w:ascii="Times New Roman" w:hAnsi="Times New Roman" w:cs="Times New Roman"/>
          <w:sz w:val="24"/>
          <w:szCs w:val="24"/>
        </w:rPr>
        <w:t>T</w:t>
      </w:r>
      <w:r w:rsidR="00E8518D">
        <w:rPr>
          <w:rFonts w:ascii="Times New Roman" w:hAnsi="Times New Roman" w:cs="Times New Roman"/>
          <w:sz w:val="24"/>
          <w:szCs w:val="24"/>
        </w:rPr>
        <w:t>he court held that “[t]</w:t>
      </w:r>
      <w:r w:rsidR="00E8518D" w:rsidRPr="00E8518D">
        <w:rPr>
          <w:rFonts w:ascii="Times New Roman" w:hAnsi="Times New Roman" w:cs="Times New Roman"/>
          <w:sz w:val="24"/>
          <w:szCs w:val="24"/>
        </w:rPr>
        <w:t xml:space="preserve">he petitioner could properly assume that the only complaint that would be heard was whether he had committed any breach of the terms of his license, and he could also properly assume that, without warning to him, no other ground for the </w:t>
      </w:r>
      <w:r w:rsidR="00E8518D" w:rsidRPr="00954BAB">
        <w:rPr>
          <w:rFonts w:ascii="Times New Roman" w:hAnsi="Times New Roman" w:cs="Times New Roman"/>
          <w:sz w:val="24"/>
          <w:szCs w:val="24"/>
        </w:rPr>
        <w:t>revocation would be asserted or heard.”</w:t>
      </w:r>
      <w:r w:rsidR="00954BAB">
        <w:rPr>
          <w:rFonts w:ascii="Times New Roman" w:hAnsi="Times New Roman" w:cs="Times New Roman"/>
          <w:sz w:val="24"/>
          <w:szCs w:val="24"/>
        </w:rPr>
        <w:t xml:space="preserve"> </w:t>
      </w:r>
      <w:r w:rsidR="00E8518D" w:rsidRPr="00954BAB">
        <w:rPr>
          <w:rFonts w:ascii="Times New Roman" w:hAnsi="Times New Roman" w:cs="Times New Roman"/>
          <w:sz w:val="24"/>
          <w:szCs w:val="24"/>
        </w:rPr>
        <w:t xml:space="preserve"> </w:t>
      </w:r>
      <w:r w:rsidR="00E8518D" w:rsidRPr="00954BAB">
        <w:rPr>
          <w:rFonts w:ascii="Times New Roman" w:hAnsi="Times New Roman" w:cs="Times New Roman"/>
          <w:sz w:val="24"/>
          <w:szCs w:val="24"/>
          <w:u w:val="single"/>
        </w:rPr>
        <w:t>Id.</w:t>
      </w:r>
      <w:r w:rsidR="00954BAB">
        <w:rPr>
          <w:rFonts w:ascii="Times New Roman" w:hAnsi="Times New Roman" w:cs="Times New Roman"/>
          <w:sz w:val="24"/>
          <w:szCs w:val="24"/>
        </w:rPr>
        <w:t xml:space="preserve">  </w:t>
      </w:r>
      <w:r w:rsidR="002D3720" w:rsidRPr="00954BAB">
        <w:rPr>
          <w:rFonts w:ascii="Times New Roman" w:hAnsi="Times New Roman" w:cs="Times New Roman"/>
          <w:sz w:val="24"/>
          <w:szCs w:val="24"/>
        </w:rPr>
        <w:t xml:space="preserve">Thus, when his permit was </w:t>
      </w:r>
      <w:r w:rsidR="00DC493C" w:rsidRPr="00954BAB">
        <w:rPr>
          <w:rFonts w:ascii="Times New Roman" w:hAnsi="Times New Roman" w:cs="Times New Roman"/>
          <w:sz w:val="24"/>
          <w:szCs w:val="24"/>
        </w:rPr>
        <w:t>revoked</w:t>
      </w:r>
      <w:r w:rsidR="002D3720" w:rsidRPr="00954BAB">
        <w:rPr>
          <w:rFonts w:ascii="Times New Roman" w:hAnsi="Times New Roman" w:cs="Times New Roman"/>
          <w:sz w:val="24"/>
          <w:szCs w:val="24"/>
        </w:rPr>
        <w:t xml:space="preserve"> because he </w:t>
      </w:r>
      <w:r w:rsidR="00DC493C" w:rsidRPr="00954BAB">
        <w:rPr>
          <w:rFonts w:ascii="Times New Roman" w:hAnsi="Times New Roman" w:cs="Times New Roman"/>
          <w:sz w:val="24"/>
          <w:szCs w:val="24"/>
        </w:rPr>
        <w:t xml:space="preserve">improperly </w:t>
      </w:r>
      <w:r w:rsidR="00DC493C" w:rsidRPr="00954BAB">
        <w:rPr>
          <w:rFonts w:ascii="Times New Roman" w:hAnsi="Times New Roman" w:cs="Times New Roman"/>
          <w:i/>
          <w:sz w:val="24"/>
          <w:szCs w:val="24"/>
        </w:rPr>
        <w:t>obtained</w:t>
      </w:r>
      <w:r w:rsidR="00DC493C" w:rsidRPr="00954BAB">
        <w:rPr>
          <w:rFonts w:ascii="Times New Roman" w:hAnsi="Times New Roman" w:cs="Times New Roman"/>
          <w:sz w:val="24"/>
          <w:szCs w:val="24"/>
        </w:rPr>
        <w:t xml:space="preserve"> the license, </w:t>
      </w:r>
      <w:r w:rsidR="00545379" w:rsidRPr="00954BAB">
        <w:rPr>
          <w:rFonts w:ascii="Times New Roman" w:hAnsi="Times New Roman" w:cs="Times New Roman"/>
          <w:sz w:val="24"/>
          <w:szCs w:val="24"/>
        </w:rPr>
        <w:t xml:space="preserve">the notice was inadequate. </w:t>
      </w:r>
      <w:r w:rsidR="00954BAB">
        <w:rPr>
          <w:rFonts w:ascii="Times New Roman" w:hAnsi="Times New Roman" w:cs="Times New Roman"/>
          <w:sz w:val="24"/>
          <w:szCs w:val="24"/>
        </w:rPr>
        <w:t xml:space="preserve"> </w:t>
      </w:r>
      <w:r w:rsidR="00545379" w:rsidRPr="00954BAB">
        <w:rPr>
          <w:rFonts w:ascii="Times New Roman" w:hAnsi="Times New Roman" w:cs="Times New Roman"/>
          <w:sz w:val="24"/>
          <w:szCs w:val="24"/>
          <w:u w:val="single"/>
        </w:rPr>
        <w:t>Id.</w:t>
      </w:r>
      <w:r w:rsidR="00545379" w:rsidRPr="00954BAB">
        <w:rPr>
          <w:rFonts w:ascii="Times New Roman" w:hAnsi="Times New Roman" w:cs="Times New Roman"/>
          <w:sz w:val="24"/>
          <w:szCs w:val="24"/>
        </w:rPr>
        <w:t xml:space="preserve"> at 147–48. </w:t>
      </w:r>
      <w:r w:rsidR="00B90436" w:rsidRPr="00954BAB">
        <w:rPr>
          <w:rFonts w:ascii="Times New Roman" w:hAnsi="Times New Roman" w:cs="Times New Roman"/>
          <w:sz w:val="24"/>
          <w:szCs w:val="24"/>
        </w:rPr>
        <w:t>(“</w:t>
      </w:r>
      <w:r w:rsidR="002305AA" w:rsidRPr="00954BAB">
        <w:rPr>
          <w:rFonts w:ascii="Times New Roman" w:hAnsi="Times New Roman" w:cs="Times New Roman"/>
          <w:sz w:val="24"/>
          <w:szCs w:val="24"/>
        </w:rPr>
        <w:t xml:space="preserve">The license could not be revoked for a cause different from that alleged in the notice.”). </w:t>
      </w:r>
    </w:p>
    <w:p w14:paraId="5D338302" w14:textId="4885D761" w:rsidR="00F71B03" w:rsidRPr="00954BAB" w:rsidRDefault="00490AF2" w:rsidP="00954BAB">
      <w:pPr>
        <w:pStyle w:val="Heading3"/>
        <w:spacing w:before="0" w:beforeAutospacing="0" w:after="0" w:afterAutospacing="0" w:line="480" w:lineRule="auto"/>
        <w:rPr>
          <w:rFonts w:eastAsiaTheme="minorHAnsi"/>
          <w:b w:val="0"/>
          <w:bCs w:val="0"/>
          <w:sz w:val="24"/>
          <w:szCs w:val="24"/>
        </w:rPr>
      </w:pPr>
      <w:r w:rsidRPr="00954BAB">
        <w:rPr>
          <w:b w:val="0"/>
          <w:sz w:val="24"/>
          <w:szCs w:val="24"/>
        </w:rPr>
        <w:tab/>
        <w:t xml:space="preserve">Finally, Massachusetts </w:t>
      </w:r>
      <w:r w:rsidR="00CE208C" w:rsidRPr="00954BAB">
        <w:rPr>
          <w:b w:val="0"/>
          <w:sz w:val="24"/>
          <w:szCs w:val="24"/>
        </w:rPr>
        <w:t xml:space="preserve">requires that tenants evicted from public housing receive notice </w:t>
      </w:r>
      <w:r w:rsidR="0000265B" w:rsidRPr="00954BAB">
        <w:rPr>
          <w:b w:val="0"/>
          <w:sz w:val="24"/>
          <w:szCs w:val="24"/>
        </w:rPr>
        <w:t>“with reasonable particularity of the proposed action”</w:t>
      </w:r>
      <w:r w:rsidR="004D47BE" w:rsidRPr="00954BAB">
        <w:rPr>
          <w:b w:val="0"/>
          <w:sz w:val="24"/>
          <w:szCs w:val="24"/>
        </w:rPr>
        <w:t xml:space="preserve"> so that the tenants can reasonably prepare their</w:t>
      </w:r>
      <w:r w:rsidR="0000265B" w:rsidRPr="00954BAB">
        <w:rPr>
          <w:b w:val="0"/>
          <w:sz w:val="24"/>
          <w:szCs w:val="24"/>
        </w:rPr>
        <w:t xml:space="preserve"> arguments</w:t>
      </w:r>
      <w:r w:rsidR="00A455EC" w:rsidRPr="00954BAB">
        <w:rPr>
          <w:b w:val="0"/>
          <w:sz w:val="24"/>
          <w:szCs w:val="24"/>
        </w:rPr>
        <w:t xml:space="preserve">. </w:t>
      </w:r>
      <w:r w:rsidR="00954BAB">
        <w:rPr>
          <w:b w:val="0"/>
          <w:sz w:val="24"/>
          <w:szCs w:val="24"/>
        </w:rPr>
        <w:t xml:space="preserve"> </w:t>
      </w:r>
      <w:r w:rsidR="00A455EC" w:rsidRPr="00954BAB">
        <w:rPr>
          <w:b w:val="0"/>
          <w:sz w:val="24"/>
          <w:szCs w:val="24"/>
          <w:u w:val="single"/>
        </w:rPr>
        <w:t>Spence v. O'Brien</w:t>
      </w:r>
      <w:r w:rsidR="00A455EC" w:rsidRPr="00954BAB">
        <w:rPr>
          <w:b w:val="0"/>
          <w:sz w:val="24"/>
          <w:szCs w:val="24"/>
        </w:rPr>
        <w:t>, 15 Mass. App. Ct. 489, 498 (1983)</w:t>
      </w:r>
      <w:r w:rsidR="004D47BE" w:rsidRPr="00954BAB">
        <w:rPr>
          <w:b w:val="0"/>
          <w:sz w:val="24"/>
          <w:szCs w:val="24"/>
        </w:rPr>
        <w:t xml:space="preserve"> (citing </w:t>
      </w:r>
      <w:r w:rsidR="004D47BE" w:rsidRPr="00954BAB">
        <w:rPr>
          <w:b w:val="0"/>
          <w:sz w:val="24"/>
          <w:szCs w:val="24"/>
          <w:u w:val="single"/>
        </w:rPr>
        <w:t>Milton v. Mass. Bay Transp. Authy.</w:t>
      </w:r>
      <w:r w:rsidR="004D47BE" w:rsidRPr="00954BAB">
        <w:rPr>
          <w:b w:val="0"/>
          <w:sz w:val="24"/>
          <w:szCs w:val="24"/>
        </w:rPr>
        <w:t>, 356 Mass. 467, 471 (1969)).</w:t>
      </w:r>
      <w:r w:rsidR="008553D5" w:rsidRPr="00954BAB">
        <w:rPr>
          <w:b w:val="0"/>
          <w:sz w:val="24"/>
          <w:szCs w:val="24"/>
        </w:rPr>
        <w:t xml:space="preserve"> </w:t>
      </w:r>
      <w:r w:rsidR="00BF1C44" w:rsidRPr="00954BAB">
        <w:rPr>
          <w:b w:val="0"/>
          <w:sz w:val="24"/>
          <w:szCs w:val="24"/>
        </w:rPr>
        <w:t>W</w:t>
      </w:r>
      <w:r w:rsidR="00441682" w:rsidRPr="00954BAB">
        <w:rPr>
          <w:b w:val="0"/>
          <w:sz w:val="24"/>
          <w:szCs w:val="24"/>
        </w:rPr>
        <w:t xml:space="preserve">here the notice is vague and does </w:t>
      </w:r>
      <w:r w:rsidR="004D47BE" w:rsidRPr="00954BAB">
        <w:rPr>
          <w:b w:val="0"/>
          <w:sz w:val="24"/>
          <w:szCs w:val="24"/>
        </w:rPr>
        <w:t xml:space="preserve">not </w:t>
      </w:r>
      <w:r w:rsidR="00466F81" w:rsidRPr="00954BAB">
        <w:rPr>
          <w:b w:val="0"/>
          <w:sz w:val="24"/>
          <w:szCs w:val="24"/>
        </w:rPr>
        <w:t>include</w:t>
      </w:r>
      <w:r w:rsidR="00BF1C44" w:rsidRPr="00954BAB">
        <w:rPr>
          <w:b w:val="0"/>
          <w:sz w:val="24"/>
          <w:szCs w:val="24"/>
        </w:rPr>
        <w:t xml:space="preserve"> </w:t>
      </w:r>
      <w:r w:rsidR="00BF1C44" w:rsidRPr="00954BAB">
        <w:rPr>
          <w:b w:val="0"/>
          <w:i/>
          <w:sz w:val="24"/>
          <w:szCs w:val="24"/>
        </w:rPr>
        <w:t xml:space="preserve">all </w:t>
      </w:r>
      <w:r w:rsidR="00BF1C44" w:rsidRPr="00954BAB">
        <w:rPr>
          <w:b w:val="0"/>
          <w:sz w:val="24"/>
          <w:szCs w:val="24"/>
        </w:rPr>
        <w:t>of</w:t>
      </w:r>
      <w:r w:rsidR="00466F81" w:rsidRPr="00954BAB">
        <w:rPr>
          <w:b w:val="0"/>
          <w:sz w:val="24"/>
          <w:szCs w:val="24"/>
        </w:rPr>
        <w:t xml:space="preserve"> </w:t>
      </w:r>
      <w:r w:rsidR="00BF1C44" w:rsidRPr="00954BAB">
        <w:rPr>
          <w:b w:val="0"/>
          <w:sz w:val="24"/>
          <w:szCs w:val="24"/>
        </w:rPr>
        <w:t xml:space="preserve">the factual allegations against the tenant, the notice is inadequate. </w:t>
      </w:r>
      <w:r w:rsidR="00954BAB">
        <w:rPr>
          <w:b w:val="0"/>
          <w:sz w:val="24"/>
          <w:szCs w:val="24"/>
        </w:rPr>
        <w:t xml:space="preserve"> </w:t>
      </w:r>
      <w:r w:rsidR="00BF1C44" w:rsidRPr="00954BAB">
        <w:rPr>
          <w:b w:val="0"/>
          <w:sz w:val="24"/>
          <w:szCs w:val="24"/>
          <w:u w:val="single"/>
        </w:rPr>
        <w:t>Cf.</w:t>
      </w:r>
      <w:r w:rsidR="00BF1C44" w:rsidRPr="00954BAB">
        <w:rPr>
          <w:b w:val="0"/>
          <w:sz w:val="24"/>
          <w:szCs w:val="24"/>
        </w:rPr>
        <w:t xml:space="preserve"> </w:t>
      </w:r>
      <w:r w:rsidR="0090598E" w:rsidRPr="00954BAB">
        <w:rPr>
          <w:b w:val="0"/>
          <w:sz w:val="24"/>
          <w:szCs w:val="24"/>
          <w:u w:val="single"/>
        </w:rPr>
        <w:t>Escalera v. New York City Hous</w:t>
      </w:r>
      <w:r w:rsidR="001B725B" w:rsidRPr="00954BAB">
        <w:rPr>
          <w:b w:val="0"/>
          <w:sz w:val="24"/>
          <w:szCs w:val="24"/>
          <w:u w:val="single"/>
        </w:rPr>
        <w:t>ing</w:t>
      </w:r>
      <w:r w:rsidR="0090598E" w:rsidRPr="00954BAB">
        <w:rPr>
          <w:b w:val="0"/>
          <w:sz w:val="24"/>
          <w:szCs w:val="24"/>
          <w:u w:val="single"/>
        </w:rPr>
        <w:t xml:space="preserve"> Auth.</w:t>
      </w:r>
      <w:r w:rsidR="0090598E" w:rsidRPr="00954BAB">
        <w:rPr>
          <w:b w:val="0"/>
          <w:sz w:val="24"/>
          <w:szCs w:val="24"/>
        </w:rPr>
        <w:t>, 425 F.2d 853</w:t>
      </w:r>
      <w:r w:rsidR="005938EA" w:rsidRPr="00954BAB">
        <w:rPr>
          <w:b w:val="0"/>
          <w:sz w:val="24"/>
          <w:szCs w:val="24"/>
        </w:rPr>
        <w:t xml:space="preserve">, </w:t>
      </w:r>
      <w:r w:rsidR="001A5D5F" w:rsidRPr="00954BAB">
        <w:rPr>
          <w:b w:val="0"/>
          <w:sz w:val="24"/>
          <w:szCs w:val="24"/>
        </w:rPr>
        <w:t xml:space="preserve">862–63 </w:t>
      </w:r>
      <w:r w:rsidR="0090598E" w:rsidRPr="00954BAB">
        <w:rPr>
          <w:b w:val="0"/>
          <w:sz w:val="24"/>
          <w:szCs w:val="24"/>
        </w:rPr>
        <w:t>(2d Cir. 1970)</w:t>
      </w:r>
      <w:r w:rsidR="004D47BE" w:rsidRPr="00954BAB">
        <w:rPr>
          <w:b w:val="0"/>
          <w:sz w:val="24"/>
          <w:szCs w:val="24"/>
        </w:rPr>
        <w:t xml:space="preserve"> (“The purpose of requiring that notice be given to the tenant before the hearing is to insure that the tenant is adequately informed of the nature of the evidence against him so that he can effectively rebut that evidence.”)</w:t>
      </w:r>
      <w:r w:rsidR="00954BAB">
        <w:rPr>
          <w:b w:val="0"/>
          <w:sz w:val="24"/>
          <w:szCs w:val="24"/>
        </w:rPr>
        <w:t xml:space="preserve"> (cited in </w:t>
      </w:r>
      <w:r w:rsidR="00954BAB" w:rsidRPr="00954BAB">
        <w:rPr>
          <w:b w:val="0"/>
          <w:sz w:val="24"/>
          <w:szCs w:val="24"/>
          <w:u w:val="single"/>
        </w:rPr>
        <w:t>Spence</w:t>
      </w:r>
      <w:r w:rsidR="00954BAB">
        <w:rPr>
          <w:b w:val="0"/>
          <w:sz w:val="24"/>
          <w:szCs w:val="24"/>
        </w:rPr>
        <w:t>, 15 Mass. App. Ct. at 498)</w:t>
      </w:r>
      <w:r w:rsidR="000E4C6B" w:rsidRPr="00954BAB">
        <w:rPr>
          <w:b w:val="0"/>
          <w:sz w:val="24"/>
          <w:szCs w:val="24"/>
        </w:rPr>
        <w:t>;</w:t>
      </w:r>
      <w:r w:rsidR="0090598E" w:rsidRPr="00954BAB">
        <w:rPr>
          <w:b w:val="0"/>
          <w:sz w:val="24"/>
          <w:szCs w:val="24"/>
        </w:rPr>
        <w:t xml:space="preserve"> </w:t>
      </w:r>
      <w:r w:rsidR="00654158" w:rsidRPr="00954BAB">
        <w:rPr>
          <w:b w:val="0"/>
          <w:sz w:val="24"/>
          <w:szCs w:val="24"/>
          <w:u w:val="single"/>
        </w:rPr>
        <w:t>Hous</w:t>
      </w:r>
      <w:r w:rsidR="001B725B" w:rsidRPr="00954BAB">
        <w:rPr>
          <w:b w:val="0"/>
          <w:sz w:val="24"/>
          <w:szCs w:val="24"/>
          <w:u w:val="single"/>
        </w:rPr>
        <w:t>ing</w:t>
      </w:r>
      <w:r w:rsidR="00654158" w:rsidRPr="00954BAB">
        <w:rPr>
          <w:b w:val="0"/>
          <w:sz w:val="24"/>
          <w:szCs w:val="24"/>
          <w:u w:val="single"/>
        </w:rPr>
        <w:t xml:space="preserve"> Auth. of King Cty. v. Saylors</w:t>
      </w:r>
      <w:r w:rsidR="00654158" w:rsidRPr="00954BAB">
        <w:rPr>
          <w:b w:val="0"/>
          <w:sz w:val="24"/>
          <w:szCs w:val="24"/>
        </w:rPr>
        <w:t>, 19 Wash. App. 871, 874</w:t>
      </w:r>
      <w:r w:rsidR="00954BAB">
        <w:rPr>
          <w:b w:val="0"/>
          <w:sz w:val="24"/>
          <w:szCs w:val="24"/>
        </w:rPr>
        <w:t xml:space="preserve">, </w:t>
      </w:r>
      <w:r w:rsidR="00954BAB" w:rsidRPr="00954BAB">
        <w:rPr>
          <w:b w:val="0"/>
          <w:sz w:val="24"/>
          <w:szCs w:val="24"/>
        </w:rPr>
        <w:t>578 P.2d 76</w:t>
      </w:r>
      <w:r w:rsidR="00654158" w:rsidRPr="00954BAB">
        <w:rPr>
          <w:b w:val="0"/>
          <w:sz w:val="24"/>
          <w:szCs w:val="24"/>
        </w:rPr>
        <w:t xml:space="preserve"> (</w:t>
      </w:r>
      <w:r w:rsidR="00954BAB" w:rsidRPr="00954BAB">
        <w:rPr>
          <w:b w:val="0"/>
          <w:sz w:val="24"/>
          <w:szCs w:val="24"/>
        </w:rPr>
        <w:t xml:space="preserve">Ct. App. Wash. </w:t>
      </w:r>
      <w:r w:rsidR="00654158" w:rsidRPr="00954BAB">
        <w:rPr>
          <w:b w:val="0"/>
          <w:sz w:val="24"/>
          <w:szCs w:val="24"/>
        </w:rPr>
        <w:t xml:space="preserve">1978) (holding that </w:t>
      </w:r>
      <w:r w:rsidR="005E31AC" w:rsidRPr="00954BAB">
        <w:rPr>
          <w:b w:val="0"/>
          <w:sz w:val="24"/>
          <w:szCs w:val="24"/>
        </w:rPr>
        <w:t xml:space="preserve">notice which </w:t>
      </w:r>
      <w:r w:rsidR="004309C4" w:rsidRPr="00954BAB">
        <w:rPr>
          <w:b w:val="0"/>
          <w:sz w:val="24"/>
          <w:szCs w:val="24"/>
        </w:rPr>
        <w:t xml:space="preserve">summarily </w:t>
      </w:r>
      <w:r w:rsidR="005E31AC" w:rsidRPr="00954BAB">
        <w:rPr>
          <w:b w:val="0"/>
          <w:sz w:val="24"/>
          <w:szCs w:val="24"/>
        </w:rPr>
        <w:t>stated tenants were in violation of lease section which prohibited “maintain[ing] a nuisance” was inadequate to</w:t>
      </w:r>
      <w:r w:rsidR="00373C77" w:rsidRPr="00954BAB">
        <w:rPr>
          <w:b w:val="0"/>
          <w:sz w:val="24"/>
          <w:szCs w:val="24"/>
        </w:rPr>
        <w:t xml:space="preserve"> allow tenants to prepare for hearing)</w:t>
      </w:r>
      <w:r w:rsidR="00954BAB">
        <w:rPr>
          <w:b w:val="0"/>
          <w:sz w:val="24"/>
          <w:szCs w:val="24"/>
        </w:rPr>
        <w:t xml:space="preserve"> (cited in </w:t>
      </w:r>
      <w:r w:rsidR="00954BAB" w:rsidRPr="00954BAB">
        <w:rPr>
          <w:b w:val="0"/>
          <w:sz w:val="24"/>
          <w:szCs w:val="24"/>
          <w:u w:val="single"/>
        </w:rPr>
        <w:t>Spence</w:t>
      </w:r>
      <w:r w:rsidR="00954BAB">
        <w:rPr>
          <w:b w:val="0"/>
          <w:sz w:val="24"/>
          <w:szCs w:val="24"/>
        </w:rPr>
        <w:t>, 15 Mass. App. Ct. at 498).</w:t>
      </w:r>
      <w:r w:rsidR="00373C77" w:rsidRPr="00954BAB">
        <w:rPr>
          <w:rFonts w:eastAsiaTheme="minorHAnsi"/>
          <w:b w:val="0"/>
          <w:bCs w:val="0"/>
          <w:sz w:val="24"/>
          <w:szCs w:val="24"/>
        </w:rPr>
        <w:t xml:space="preserve"> </w:t>
      </w:r>
    </w:p>
    <w:p w14:paraId="5A81105A" w14:textId="6862B747" w:rsidR="00D3138C" w:rsidRDefault="000E4C6B" w:rsidP="00E8007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sidRPr="00AE71E4">
        <w:rPr>
          <w:rFonts w:ascii="Times New Roman" w:hAnsi="Times New Roman" w:cs="Times New Roman"/>
          <w:sz w:val="24"/>
          <w:szCs w:val="24"/>
          <w:u w:val="single"/>
        </w:rPr>
        <w:t>Escalera v. New York City Hous</w:t>
      </w:r>
      <w:r>
        <w:rPr>
          <w:rFonts w:ascii="Times New Roman" w:hAnsi="Times New Roman" w:cs="Times New Roman"/>
          <w:sz w:val="24"/>
          <w:szCs w:val="24"/>
          <w:u w:val="single"/>
        </w:rPr>
        <w:t>ing</w:t>
      </w:r>
      <w:r w:rsidRPr="00AE71E4">
        <w:rPr>
          <w:rFonts w:ascii="Times New Roman" w:hAnsi="Times New Roman" w:cs="Times New Roman"/>
          <w:sz w:val="24"/>
          <w:szCs w:val="24"/>
          <w:u w:val="single"/>
        </w:rPr>
        <w:t xml:space="preserve"> Auth</w:t>
      </w:r>
      <w:r w:rsidRPr="000E788F">
        <w:rPr>
          <w:rFonts w:ascii="Times New Roman" w:hAnsi="Times New Roman" w:cs="Times New Roman"/>
          <w:sz w:val="24"/>
          <w:szCs w:val="24"/>
          <w:u w:val="single"/>
        </w:rPr>
        <w:t>.</w:t>
      </w:r>
      <w:r w:rsidRPr="00AE71E4">
        <w:rPr>
          <w:rFonts w:ascii="Times New Roman" w:hAnsi="Times New Roman" w:cs="Times New Roman"/>
          <w:sz w:val="24"/>
          <w:szCs w:val="24"/>
        </w:rPr>
        <w:t xml:space="preserve">, </w:t>
      </w:r>
      <w:r>
        <w:rPr>
          <w:rFonts w:ascii="Times New Roman" w:hAnsi="Times New Roman" w:cs="Times New Roman"/>
          <w:sz w:val="24"/>
          <w:szCs w:val="24"/>
        </w:rPr>
        <w:t xml:space="preserve">a tenant was evicted </w:t>
      </w:r>
      <w:r w:rsidR="008A4328">
        <w:rPr>
          <w:rFonts w:ascii="Times New Roman" w:hAnsi="Times New Roman" w:cs="Times New Roman"/>
          <w:sz w:val="24"/>
          <w:szCs w:val="24"/>
        </w:rPr>
        <w:t xml:space="preserve">after being given a summary notice </w:t>
      </w:r>
      <w:r w:rsidR="00F34C92">
        <w:rPr>
          <w:rFonts w:ascii="Times New Roman" w:hAnsi="Times New Roman" w:cs="Times New Roman"/>
          <w:sz w:val="24"/>
          <w:szCs w:val="24"/>
        </w:rPr>
        <w:t xml:space="preserve">that she </w:t>
      </w:r>
      <w:r w:rsidR="00191879">
        <w:rPr>
          <w:rFonts w:ascii="Times New Roman" w:hAnsi="Times New Roman" w:cs="Times New Roman"/>
          <w:sz w:val="24"/>
          <w:szCs w:val="24"/>
        </w:rPr>
        <w:t>would be evicted because of “non-</w:t>
      </w:r>
      <w:r w:rsidR="00C21B7D">
        <w:rPr>
          <w:rFonts w:ascii="Times New Roman" w:hAnsi="Times New Roman" w:cs="Times New Roman"/>
          <w:sz w:val="24"/>
          <w:szCs w:val="24"/>
        </w:rPr>
        <w:t>desirable</w:t>
      </w:r>
      <w:r w:rsidR="00191879">
        <w:rPr>
          <w:rFonts w:ascii="Times New Roman" w:hAnsi="Times New Roman" w:cs="Times New Roman"/>
          <w:sz w:val="24"/>
          <w:szCs w:val="24"/>
        </w:rPr>
        <w:t xml:space="preserve"> conduct</w:t>
      </w:r>
      <w:r w:rsidR="00E01B55">
        <w:rPr>
          <w:rFonts w:ascii="Times New Roman" w:hAnsi="Times New Roman" w:cs="Times New Roman"/>
          <w:sz w:val="24"/>
          <w:szCs w:val="24"/>
        </w:rPr>
        <w:t>.”</w:t>
      </w:r>
      <w:r w:rsidR="00EE69E0" w:rsidRPr="00EE69E0">
        <w:rPr>
          <w:rFonts w:ascii="Times New Roman" w:hAnsi="Times New Roman" w:cs="Times New Roman"/>
          <w:sz w:val="24"/>
          <w:szCs w:val="24"/>
        </w:rPr>
        <w:t xml:space="preserve"> </w:t>
      </w:r>
      <w:r w:rsidR="00954BAB">
        <w:rPr>
          <w:rFonts w:ascii="Times New Roman" w:hAnsi="Times New Roman" w:cs="Times New Roman"/>
          <w:sz w:val="24"/>
          <w:szCs w:val="24"/>
        </w:rPr>
        <w:t xml:space="preserve"> </w:t>
      </w:r>
      <w:r w:rsidR="00EE69E0" w:rsidRPr="00AE71E4">
        <w:rPr>
          <w:rFonts w:ascii="Times New Roman" w:hAnsi="Times New Roman" w:cs="Times New Roman"/>
          <w:sz w:val="24"/>
          <w:szCs w:val="24"/>
        </w:rPr>
        <w:t>425 F.2d</w:t>
      </w:r>
      <w:r w:rsidR="00EE69E0">
        <w:rPr>
          <w:rFonts w:ascii="Times New Roman" w:hAnsi="Times New Roman" w:cs="Times New Roman"/>
          <w:sz w:val="24"/>
          <w:szCs w:val="24"/>
        </w:rPr>
        <w:t xml:space="preserve"> at 862. </w:t>
      </w:r>
      <w:r w:rsidR="00C21B7D">
        <w:rPr>
          <w:rFonts w:ascii="Times New Roman" w:hAnsi="Times New Roman" w:cs="Times New Roman"/>
          <w:sz w:val="24"/>
          <w:szCs w:val="24"/>
        </w:rPr>
        <w:t xml:space="preserve">The </w:t>
      </w:r>
      <w:r w:rsidR="00B26290">
        <w:rPr>
          <w:rFonts w:ascii="Times New Roman" w:hAnsi="Times New Roman" w:cs="Times New Roman"/>
          <w:sz w:val="24"/>
          <w:szCs w:val="24"/>
        </w:rPr>
        <w:t xml:space="preserve">board reviewing </w:t>
      </w:r>
      <w:r w:rsidR="00954BAB">
        <w:rPr>
          <w:rFonts w:ascii="Times New Roman" w:hAnsi="Times New Roman" w:cs="Times New Roman"/>
          <w:sz w:val="24"/>
          <w:szCs w:val="24"/>
        </w:rPr>
        <w:t>Escalera’s</w:t>
      </w:r>
      <w:r w:rsidR="00B26290">
        <w:rPr>
          <w:rFonts w:ascii="Times New Roman" w:hAnsi="Times New Roman" w:cs="Times New Roman"/>
          <w:sz w:val="24"/>
          <w:szCs w:val="24"/>
        </w:rPr>
        <w:t xml:space="preserve"> case and making a decision on her eviction had before it an entire folder of evidence against </w:t>
      </w:r>
      <w:r w:rsidR="00954BAB">
        <w:rPr>
          <w:rFonts w:ascii="Times New Roman" w:hAnsi="Times New Roman" w:cs="Times New Roman"/>
          <w:sz w:val="24"/>
          <w:szCs w:val="24"/>
        </w:rPr>
        <w:t>her</w:t>
      </w:r>
      <w:r w:rsidR="00B26290">
        <w:rPr>
          <w:rFonts w:ascii="Times New Roman" w:hAnsi="Times New Roman" w:cs="Times New Roman"/>
          <w:sz w:val="24"/>
          <w:szCs w:val="24"/>
        </w:rPr>
        <w:t xml:space="preserve">. </w:t>
      </w:r>
      <w:r w:rsidR="007F584F">
        <w:rPr>
          <w:rFonts w:ascii="Times New Roman" w:hAnsi="Times New Roman" w:cs="Times New Roman"/>
          <w:sz w:val="24"/>
          <w:szCs w:val="24"/>
          <w:u w:val="single"/>
        </w:rPr>
        <w:t>Id.</w:t>
      </w:r>
      <w:r w:rsidR="00954BAB">
        <w:rPr>
          <w:rFonts w:ascii="Times New Roman" w:hAnsi="Times New Roman" w:cs="Times New Roman"/>
          <w:sz w:val="24"/>
          <w:szCs w:val="24"/>
        </w:rPr>
        <w:t xml:space="preserve">  </w:t>
      </w:r>
      <w:r w:rsidR="007F584F">
        <w:rPr>
          <w:rFonts w:ascii="Times New Roman" w:hAnsi="Times New Roman" w:cs="Times New Roman"/>
          <w:sz w:val="24"/>
          <w:szCs w:val="24"/>
        </w:rPr>
        <w:t xml:space="preserve">The </w:t>
      </w:r>
      <w:r w:rsidR="00954BAB">
        <w:rPr>
          <w:rFonts w:ascii="Times New Roman" w:hAnsi="Times New Roman" w:cs="Times New Roman"/>
          <w:sz w:val="24"/>
          <w:szCs w:val="24"/>
        </w:rPr>
        <w:t>Court of Appeals</w:t>
      </w:r>
      <w:r w:rsidR="007F584F">
        <w:rPr>
          <w:rFonts w:ascii="Times New Roman" w:hAnsi="Times New Roman" w:cs="Times New Roman"/>
          <w:sz w:val="24"/>
          <w:szCs w:val="24"/>
        </w:rPr>
        <w:t xml:space="preserve"> held that Escalera was entitled to notice of everything in her folder that the board w</w:t>
      </w:r>
      <w:r w:rsidR="00645FD0">
        <w:rPr>
          <w:rFonts w:ascii="Times New Roman" w:hAnsi="Times New Roman" w:cs="Times New Roman"/>
          <w:sz w:val="24"/>
          <w:szCs w:val="24"/>
        </w:rPr>
        <w:t xml:space="preserve">ould consider in making </w:t>
      </w:r>
      <w:r w:rsidR="00954BAB">
        <w:rPr>
          <w:rFonts w:ascii="Times New Roman" w:hAnsi="Times New Roman" w:cs="Times New Roman"/>
          <w:sz w:val="24"/>
          <w:szCs w:val="24"/>
        </w:rPr>
        <w:t>its</w:t>
      </w:r>
      <w:r w:rsidR="00645FD0">
        <w:rPr>
          <w:rFonts w:ascii="Times New Roman" w:hAnsi="Times New Roman" w:cs="Times New Roman"/>
          <w:sz w:val="24"/>
          <w:szCs w:val="24"/>
        </w:rPr>
        <w:t xml:space="preserve"> decision. </w:t>
      </w:r>
      <w:r w:rsidR="00954BAB">
        <w:rPr>
          <w:rFonts w:ascii="Times New Roman" w:hAnsi="Times New Roman" w:cs="Times New Roman"/>
          <w:sz w:val="24"/>
          <w:szCs w:val="24"/>
        </w:rPr>
        <w:t xml:space="preserve"> </w:t>
      </w:r>
      <w:r w:rsidR="00645FD0">
        <w:rPr>
          <w:rFonts w:ascii="Times New Roman" w:hAnsi="Times New Roman" w:cs="Times New Roman"/>
          <w:sz w:val="24"/>
          <w:szCs w:val="24"/>
          <w:u w:val="single"/>
        </w:rPr>
        <w:t>Id.</w:t>
      </w:r>
      <w:r w:rsidR="00645FD0">
        <w:rPr>
          <w:rFonts w:ascii="Times New Roman" w:hAnsi="Times New Roman" w:cs="Times New Roman"/>
          <w:sz w:val="24"/>
          <w:szCs w:val="24"/>
        </w:rPr>
        <w:t xml:space="preserve"> Without such notice, </w:t>
      </w:r>
      <w:r w:rsidR="002D5572">
        <w:rPr>
          <w:rFonts w:ascii="Times New Roman" w:hAnsi="Times New Roman" w:cs="Times New Roman"/>
          <w:sz w:val="24"/>
          <w:szCs w:val="24"/>
        </w:rPr>
        <w:t xml:space="preserve">she had no real opportunity to rebut the allegations. </w:t>
      </w:r>
      <w:r w:rsidR="002D5572">
        <w:rPr>
          <w:rFonts w:ascii="Times New Roman" w:hAnsi="Times New Roman" w:cs="Times New Roman"/>
          <w:sz w:val="24"/>
          <w:szCs w:val="24"/>
          <w:u w:val="single"/>
        </w:rPr>
        <w:t>Id.</w:t>
      </w:r>
      <w:r w:rsidR="002D5572">
        <w:rPr>
          <w:rFonts w:ascii="Times New Roman" w:hAnsi="Times New Roman" w:cs="Times New Roman"/>
          <w:sz w:val="24"/>
          <w:szCs w:val="24"/>
        </w:rPr>
        <w:t xml:space="preserve"> </w:t>
      </w:r>
      <w:r w:rsidR="00954BAB">
        <w:rPr>
          <w:rFonts w:ascii="Times New Roman" w:hAnsi="Times New Roman" w:cs="Times New Roman"/>
          <w:sz w:val="24"/>
          <w:szCs w:val="24"/>
        </w:rPr>
        <w:t xml:space="preserve"> </w:t>
      </w:r>
    </w:p>
    <w:p w14:paraId="6AD6163E" w14:textId="3C76833B" w:rsidR="00EE23AE" w:rsidRDefault="00EE23AE" w:rsidP="00BC2B0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These </w:t>
      </w:r>
      <w:r w:rsidR="00606BB7">
        <w:rPr>
          <w:rFonts w:ascii="Times New Roman" w:hAnsi="Times New Roman" w:cs="Times New Roman"/>
          <w:sz w:val="24"/>
          <w:szCs w:val="24"/>
        </w:rPr>
        <w:t xml:space="preserve">Massachusetts </w:t>
      </w:r>
      <w:r>
        <w:rPr>
          <w:rFonts w:ascii="Times New Roman" w:hAnsi="Times New Roman" w:cs="Times New Roman"/>
          <w:sz w:val="24"/>
          <w:szCs w:val="24"/>
        </w:rPr>
        <w:t>precedents</w:t>
      </w:r>
      <w:r w:rsidR="00606BB7">
        <w:rPr>
          <w:rFonts w:ascii="Times New Roman" w:hAnsi="Times New Roman" w:cs="Times New Roman"/>
          <w:sz w:val="24"/>
          <w:szCs w:val="24"/>
        </w:rPr>
        <w:t xml:space="preserve"> – particularly </w:t>
      </w:r>
      <w:r w:rsidR="00954BAB">
        <w:rPr>
          <w:rFonts w:ascii="Times New Roman" w:hAnsi="Times New Roman" w:cs="Times New Roman"/>
          <w:sz w:val="24"/>
          <w:szCs w:val="24"/>
        </w:rPr>
        <w:t>because they are civil cases</w:t>
      </w:r>
      <w:r w:rsidR="00606BB7">
        <w:rPr>
          <w:rFonts w:ascii="Times New Roman" w:hAnsi="Times New Roman" w:cs="Times New Roman"/>
          <w:sz w:val="24"/>
          <w:szCs w:val="24"/>
        </w:rPr>
        <w:t xml:space="preserve"> and concern </w:t>
      </w:r>
      <w:r w:rsidR="00954BAB">
        <w:rPr>
          <w:rFonts w:ascii="Times New Roman" w:hAnsi="Times New Roman" w:cs="Times New Roman"/>
          <w:sz w:val="24"/>
          <w:szCs w:val="24"/>
        </w:rPr>
        <w:t>lesser deprivations than those in care and protection cases - suggest</w:t>
      </w:r>
      <w:r>
        <w:rPr>
          <w:rFonts w:ascii="Times New Roman" w:hAnsi="Times New Roman" w:cs="Times New Roman"/>
          <w:sz w:val="24"/>
          <w:szCs w:val="24"/>
        </w:rPr>
        <w:t xml:space="preserve"> that</w:t>
      </w:r>
      <w:r w:rsidR="00E13072">
        <w:rPr>
          <w:rFonts w:ascii="Times New Roman" w:hAnsi="Times New Roman" w:cs="Times New Roman"/>
          <w:sz w:val="24"/>
          <w:szCs w:val="24"/>
        </w:rPr>
        <w:t xml:space="preserve"> parents </w:t>
      </w:r>
      <w:r w:rsidR="00606BB7">
        <w:rPr>
          <w:rFonts w:ascii="Times New Roman" w:hAnsi="Times New Roman" w:cs="Times New Roman"/>
          <w:sz w:val="24"/>
          <w:szCs w:val="24"/>
        </w:rPr>
        <w:t>are entitled to</w:t>
      </w:r>
      <w:r w:rsidR="00E13072">
        <w:rPr>
          <w:rFonts w:ascii="Times New Roman" w:hAnsi="Times New Roman" w:cs="Times New Roman"/>
          <w:sz w:val="24"/>
          <w:szCs w:val="24"/>
        </w:rPr>
        <w:t xml:space="preserve"> notice </w:t>
      </w:r>
      <w:r w:rsidR="00606BB7">
        <w:rPr>
          <w:rFonts w:ascii="Times New Roman" w:hAnsi="Times New Roman" w:cs="Times New Roman"/>
          <w:sz w:val="24"/>
          <w:szCs w:val="24"/>
        </w:rPr>
        <w:t xml:space="preserve">of the specific bases that DCF will allege (and the court will consider) at trial regarding parental unfitness.  </w:t>
      </w:r>
      <w:r w:rsidR="00ED0DAA">
        <w:rPr>
          <w:rFonts w:ascii="Times New Roman" w:hAnsi="Times New Roman" w:cs="Times New Roman"/>
          <w:sz w:val="24"/>
          <w:szCs w:val="24"/>
        </w:rPr>
        <w:t xml:space="preserve"> </w:t>
      </w:r>
    </w:p>
    <w:p w14:paraId="5F54044F" w14:textId="77777777" w:rsidR="00931C10" w:rsidRDefault="00931C10" w:rsidP="00BC2B05">
      <w:pPr>
        <w:spacing w:line="480" w:lineRule="auto"/>
        <w:rPr>
          <w:rFonts w:ascii="Times New Roman" w:hAnsi="Times New Roman" w:cs="Times New Roman"/>
          <w:sz w:val="24"/>
          <w:szCs w:val="24"/>
        </w:rPr>
      </w:pPr>
    </w:p>
    <w:p w14:paraId="353628CF" w14:textId="77777777" w:rsidR="00931C10" w:rsidRDefault="00931C10" w:rsidP="00BC2B05">
      <w:pPr>
        <w:spacing w:line="480" w:lineRule="auto"/>
        <w:rPr>
          <w:rFonts w:ascii="Times New Roman" w:hAnsi="Times New Roman" w:cs="Times New Roman"/>
          <w:sz w:val="24"/>
          <w:szCs w:val="24"/>
        </w:rPr>
      </w:pPr>
    </w:p>
    <w:p w14:paraId="79C86C6E" w14:textId="77777777" w:rsidR="00931C10" w:rsidRPr="00AE71E4" w:rsidRDefault="00931C10" w:rsidP="00BC2B05">
      <w:pPr>
        <w:spacing w:line="480" w:lineRule="auto"/>
        <w:rPr>
          <w:rFonts w:ascii="Times New Roman" w:hAnsi="Times New Roman" w:cs="Times New Roman"/>
          <w:sz w:val="24"/>
          <w:szCs w:val="24"/>
        </w:rPr>
      </w:pPr>
    </w:p>
    <w:p w14:paraId="459E11EF" w14:textId="5297691C" w:rsidR="00911E02" w:rsidRDefault="00606BB7" w:rsidP="00606BB7">
      <w:pPr>
        <w:pStyle w:val="ListParagraph"/>
        <w:spacing w:after="0" w:line="240" w:lineRule="auto"/>
        <w:ind w:left="1440" w:hanging="720"/>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D83ADD" w:rsidRPr="00AE71E4">
        <w:rPr>
          <w:rFonts w:ascii="Times New Roman" w:hAnsi="Times New Roman" w:cs="Times New Roman"/>
          <w:b/>
          <w:sz w:val="24"/>
          <w:szCs w:val="24"/>
        </w:rPr>
        <w:t xml:space="preserve">Other jurisdictions have recognized that </w:t>
      </w:r>
      <w:r w:rsidR="004F238A" w:rsidRPr="00AE71E4">
        <w:rPr>
          <w:rFonts w:ascii="Times New Roman" w:hAnsi="Times New Roman" w:cs="Times New Roman"/>
          <w:b/>
          <w:sz w:val="24"/>
          <w:szCs w:val="24"/>
        </w:rPr>
        <w:t>a decision in a</w:t>
      </w:r>
      <w:r w:rsidR="003C52E0">
        <w:rPr>
          <w:rFonts w:ascii="Times New Roman" w:hAnsi="Times New Roman" w:cs="Times New Roman"/>
          <w:b/>
          <w:sz w:val="24"/>
          <w:szCs w:val="24"/>
        </w:rPr>
        <w:t xml:space="preserve"> </w:t>
      </w:r>
      <w:r>
        <w:rPr>
          <w:rFonts w:ascii="Times New Roman" w:hAnsi="Times New Roman" w:cs="Times New Roman"/>
          <w:b/>
          <w:sz w:val="24"/>
          <w:szCs w:val="24"/>
        </w:rPr>
        <w:t>dependency/abuse &amp; neglect case that r</w:t>
      </w:r>
      <w:r w:rsidR="004F238A" w:rsidRPr="00AE71E4">
        <w:rPr>
          <w:rFonts w:ascii="Times New Roman" w:hAnsi="Times New Roman" w:cs="Times New Roman"/>
          <w:b/>
          <w:sz w:val="24"/>
          <w:szCs w:val="24"/>
        </w:rPr>
        <w:t>elies on grounds or facts not properly pleaded</w:t>
      </w:r>
      <w:r>
        <w:rPr>
          <w:rFonts w:ascii="Times New Roman" w:hAnsi="Times New Roman" w:cs="Times New Roman"/>
          <w:b/>
          <w:sz w:val="24"/>
          <w:szCs w:val="24"/>
        </w:rPr>
        <w:t xml:space="preserve"> by the child welfare agency – including </w:t>
      </w:r>
      <w:r w:rsidR="004F238A" w:rsidRPr="00AE71E4">
        <w:rPr>
          <w:rFonts w:ascii="Times New Roman" w:hAnsi="Times New Roman" w:cs="Times New Roman"/>
          <w:b/>
          <w:sz w:val="24"/>
          <w:szCs w:val="24"/>
        </w:rPr>
        <w:t xml:space="preserve">cases where the </w:t>
      </w:r>
      <w:r>
        <w:rPr>
          <w:rFonts w:ascii="Times New Roman" w:hAnsi="Times New Roman" w:cs="Times New Roman"/>
          <w:b/>
          <w:sz w:val="24"/>
          <w:szCs w:val="24"/>
        </w:rPr>
        <w:t>allegations are</w:t>
      </w:r>
      <w:r w:rsidR="00911E02" w:rsidRPr="00AE71E4">
        <w:rPr>
          <w:rFonts w:ascii="Times New Roman" w:hAnsi="Times New Roman" w:cs="Times New Roman"/>
          <w:b/>
          <w:sz w:val="24"/>
          <w:szCs w:val="24"/>
        </w:rPr>
        <w:t xml:space="preserve"> unclear or misleading</w:t>
      </w:r>
      <w:r>
        <w:rPr>
          <w:rFonts w:ascii="Times New Roman" w:hAnsi="Times New Roman" w:cs="Times New Roman"/>
          <w:b/>
          <w:sz w:val="24"/>
          <w:szCs w:val="24"/>
        </w:rPr>
        <w:t xml:space="preserve"> – violates </w:t>
      </w:r>
      <w:r w:rsidR="00911E02" w:rsidRPr="00AE71E4">
        <w:rPr>
          <w:rFonts w:ascii="Times New Roman" w:hAnsi="Times New Roman" w:cs="Times New Roman"/>
          <w:b/>
          <w:sz w:val="24"/>
          <w:szCs w:val="24"/>
        </w:rPr>
        <w:t xml:space="preserve">due process. </w:t>
      </w:r>
    </w:p>
    <w:p w14:paraId="22CAA5DB" w14:textId="77777777" w:rsidR="00606BB7" w:rsidRPr="00AE71E4" w:rsidRDefault="00606BB7" w:rsidP="00606BB7">
      <w:pPr>
        <w:pStyle w:val="ListParagraph"/>
        <w:spacing w:after="0" w:line="240" w:lineRule="auto"/>
        <w:ind w:left="1440" w:hanging="720"/>
        <w:rPr>
          <w:rFonts w:ascii="Times New Roman" w:hAnsi="Times New Roman" w:cs="Times New Roman"/>
          <w:b/>
          <w:sz w:val="24"/>
          <w:szCs w:val="24"/>
        </w:rPr>
      </w:pPr>
    </w:p>
    <w:p w14:paraId="1808FD8F" w14:textId="511F86D2" w:rsidR="00F11029" w:rsidRPr="00F86ED6" w:rsidRDefault="00670A85" w:rsidP="001D563A">
      <w:pPr>
        <w:spacing w:line="480" w:lineRule="auto"/>
        <w:ind w:firstLine="720"/>
        <w:rPr>
          <w:rFonts w:ascii="Times New Roman" w:hAnsi="Times New Roman" w:cs="Times New Roman"/>
          <w:sz w:val="24"/>
          <w:szCs w:val="24"/>
        </w:rPr>
      </w:pPr>
      <w:r w:rsidRPr="00F86ED6">
        <w:rPr>
          <w:rFonts w:ascii="Times New Roman" w:hAnsi="Times New Roman" w:cs="Times New Roman"/>
          <w:sz w:val="24"/>
          <w:szCs w:val="24"/>
        </w:rPr>
        <w:t>Other states have held that a</w:t>
      </w:r>
      <w:r w:rsidR="009F2C47" w:rsidRPr="00F86ED6">
        <w:rPr>
          <w:rFonts w:ascii="Times New Roman" w:hAnsi="Times New Roman" w:cs="Times New Roman"/>
          <w:sz w:val="24"/>
          <w:szCs w:val="24"/>
        </w:rPr>
        <w:t xml:space="preserve"> parent </w:t>
      </w:r>
      <w:r w:rsidR="00937AB5" w:rsidRPr="00F86ED6">
        <w:rPr>
          <w:rFonts w:ascii="Times New Roman" w:hAnsi="Times New Roman" w:cs="Times New Roman"/>
          <w:sz w:val="24"/>
          <w:szCs w:val="24"/>
        </w:rPr>
        <w:t>who has lost</w:t>
      </w:r>
      <w:r w:rsidR="009F2C47" w:rsidRPr="00F86ED6">
        <w:rPr>
          <w:rFonts w:ascii="Times New Roman" w:hAnsi="Times New Roman" w:cs="Times New Roman"/>
          <w:sz w:val="24"/>
          <w:szCs w:val="24"/>
        </w:rPr>
        <w:t xml:space="preserve"> custody of </w:t>
      </w:r>
      <w:r w:rsidR="00606BB7" w:rsidRPr="00F86ED6">
        <w:rPr>
          <w:rFonts w:ascii="Times New Roman" w:hAnsi="Times New Roman" w:cs="Times New Roman"/>
          <w:sz w:val="24"/>
          <w:szCs w:val="24"/>
        </w:rPr>
        <w:t>her</w:t>
      </w:r>
      <w:r w:rsidR="009F2C47" w:rsidRPr="00F86ED6">
        <w:rPr>
          <w:rFonts w:ascii="Times New Roman" w:hAnsi="Times New Roman" w:cs="Times New Roman"/>
          <w:sz w:val="24"/>
          <w:szCs w:val="24"/>
        </w:rPr>
        <w:t xml:space="preserve"> child </w:t>
      </w:r>
      <w:r w:rsidRPr="00F86ED6">
        <w:rPr>
          <w:rFonts w:ascii="Times New Roman" w:hAnsi="Times New Roman" w:cs="Times New Roman"/>
          <w:sz w:val="24"/>
          <w:szCs w:val="24"/>
        </w:rPr>
        <w:t xml:space="preserve">based on grounds or allegations not </w:t>
      </w:r>
      <w:r w:rsidR="008E52AD" w:rsidRPr="00F86ED6">
        <w:rPr>
          <w:rFonts w:ascii="Times New Roman" w:hAnsi="Times New Roman" w:cs="Times New Roman"/>
          <w:sz w:val="24"/>
          <w:szCs w:val="24"/>
        </w:rPr>
        <w:t>pled</w:t>
      </w:r>
      <w:r w:rsidR="00937AB5" w:rsidRPr="00F86ED6">
        <w:rPr>
          <w:rFonts w:ascii="Times New Roman" w:hAnsi="Times New Roman" w:cs="Times New Roman"/>
          <w:sz w:val="24"/>
          <w:szCs w:val="24"/>
        </w:rPr>
        <w:t xml:space="preserve"> has been deprived of due process</w:t>
      </w:r>
      <w:r w:rsidRPr="00F86ED6">
        <w:rPr>
          <w:rFonts w:ascii="Times New Roman" w:hAnsi="Times New Roman" w:cs="Times New Roman"/>
          <w:sz w:val="24"/>
          <w:szCs w:val="24"/>
        </w:rPr>
        <w:t xml:space="preserve">. </w:t>
      </w:r>
      <w:r w:rsidR="00937AB5" w:rsidRPr="00F86ED6">
        <w:rPr>
          <w:rFonts w:ascii="Times New Roman" w:hAnsi="Times New Roman" w:cs="Times New Roman"/>
          <w:sz w:val="24"/>
          <w:szCs w:val="24"/>
        </w:rPr>
        <w:t xml:space="preserve"> </w:t>
      </w:r>
      <w:r w:rsidR="0014135C" w:rsidRPr="00F86ED6">
        <w:rPr>
          <w:rFonts w:ascii="Times New Roman" w:hAnsi="Times New Roman" w:cs="Times New Roman"/>
          <w:sz w:val="24"/>
          <w:szCs w:val="24"/>
          <w:u w:val="single"/>
        </w:rPr>
        <w:t>See</w:t>
      </w:r>
      <w:r w:rsidR="0014135C" w:rsidRPr="00F86ED6">
        <w:rPr>
          <w:rFonts w:ascii="Times New Roman" w:hAnsi="Times New Roman" w:cs="Times New Roman"/>
          <w:sz w:val="24"/>
          <w:szCs w:val="24"/>
        </w:rPr>
        <w:t xml:space="preserve"> </w:t>
      </w:r>
      <w:r w:rsidR="00B2740F" w:rsidRPr="00F86ED6">
        <w:rPr>
          <w:rFonts w:ascii="Times New Roman" w:hAnsi="Times New Roman" w:cs="Times New Roman"/>
          <w:sz w:val="24"/>
          <w:szCs w:val="24"/>
          <w:u w:val="single"/>
        </w:rPr>
        <w:t>Lawrence v. Arkansas Dep't of Human Servs.</w:t>
      </w:r>
      <w:r w:rsidR="00B2740F" w:rsidRPr="00F86ED6">
        <w:rPr>
          <w:rFonts w:ascii="Times New Roman" w:hAnsi="Times New Roman" w:cs="Times New Roman"/>
          <w:sz w:val="24"/>
          <w:szCs w:val="24"/>
        </w:rPr>
        <w:t>, 548 S.W.3d 192, 198 (</w:t>
      </w:r>
      <w:r w:rsidR="001D62EC" w:rsidRPr="00F86ED6">
        <w:rPr>
          <w:rFonts w:ascii="Times New Roman" w:hAnsi="Times New Roman" w:cs="Times New Roman"/>
          <w:sz w:val="24"/>
          <w:szCs w:val="24"/>
        </w:rPr>
        <w:t xml:space="preserve">Ark. </w:t>
      </w:r>
      <w:r w:rsidR="00B2740F" w:rsidRPr="00F86ED6">
        <w:rPr>
          <w:rFonts w:ascii="Times New Roman" w:hAnsi="Times New Roman" w:cs="Times New Roman"/>
          <w:sz w:val="24"/>
          <w:szCs w:val="24"/>
        </w:rPr>
        <w:t>2018) (</w:t>
      </w:r>
      <w:r w:rsidR="00877F39" w:rsidRPr="00F86ED6">
        <w:rPr>
          <w:rFonts w:ascii="Times New Roman" w:hAnsi="Times New Roman" w:cs="Times New Roman"/>
          <w:sz w:val="24"/>
          <w:szCs w:val="24"/>
        </w:rPr>
        <w:t>“This court will not affirm a termination of parental rights based on grounds that were not pled because it would result in a violation of the parent's due-process rights.”</w:t>
      </w:r>
      <w:r w:rsidR="00B2740F" w:rsidRPr="00F86ED6">
        <w:rPr>
          <w:rFonts w:ascii="Times New Roman" w:hAnsi="Times New Roman" w:cs="Times New Roman"/>
          <w:sz w:val="24"/>
          <w:szCs w:val="24"/>
        </w:rPr>
        <w:t xml:space="preserve">); </w:t>
      </w:r>
      <w:r w:rsidR="00A222A6" w:rsidRPr="00F86ED6">
        <w:rPr>
          <w:rFonts w:ascii="Times New Roman" w:hAnsi="Times New Roman" w:cs="Times New Roman"/>
          <w:sz w:val="24"/>
          <w:szCs w:val="24"/>
          <w:u w:val="single"/>
        </w:rPr>
        <w:t>D.W.Q. v. A.B.</w:t>
      </w:r>
      <w:r w:rsidR="00A222A6" w:rsidRPr="00F86ED6">
        <w:rPr>
          <w:rFonts w:ascii="Times New Roman" w:hAnsi="Times New Roman" w:cs="Times New Roman"/>
          <w:sz w:val="24"/>
          <w:szCs w:val="24"/>
        </w:rPr>
        <w:t xml:space="preserve">, 200 So. 3d 87, 88 (Fla. </w:t>
      </w:r>
      <w:r w:rsidR="00937AB5" w:rsidRPr="00F86ED6">
        <w:rPr>
          <w:rFonts w:ascii="Times New Roman" w:hAnsi="Times New Roman" w:cs="Times New Roman"/>
          <w:sz w:val="24"/>
          <w:szCs w:val="24"/>
        </w:rPr>
        <w:t>5</w:t>
      </w:r>
      <w:r w:rsidR="00937AB5" w:rsidRPr="00F86ED6">
        <w:rPr>
          <w:rFonts w:ascii="Times New Roman" w:hAnsi="Times New Roman" w:cs="Times New Roman"/>
          <w:sz w:val="24"/>
          <w:szCs w:val="24"/>
          <w:vertAlign w:val="superscript"/>
        </w:rPr>
        <w:t>th</w:t>
      </w:r>
      <w:r w:rsidR="00937AB5" w:rsidRPr="00F86ED6">
        <w:rPr>
          <w:rFonts w:ascii="Times New Roman" w:hAnsi="Times New Roman" w:cs="Times New Roman"/>
          <w:sz w:val="24"/>
          <w:szCs w:val="24"/>
        </w:rPr>
        <w:t xml:space="preserve"> </w:t>
      </w:r>
      <w:r w:rsidR="00A222A6" w:rsidRPr="00F86ED6">
        <w:rPr>
          <w:rFonts w:ascii="Times New Roman" w:hAnsi="Times New Roman" w:cs="Times New Roman"/>
          <w:sz w:val="24"/>
          <w:szCs w:val="24"/>
        </w:rPr>
        <w:t>Dist. Ct. App. 2015)</w:t>
      </w:r>
      <w:r w:rsidR="00937AB5" w:rsidRPr="00F86ED6">
        <w:rPr>
          <w:rFonts w:ascii="Times New Roman" w:hAnsi="Times New Roman" w:cs="Times New Roman"/>
          <w:sz w:val="24"/>
          <w:szCs w:val="24"/>
        </w:rPr>
        <w:t xml:space="preserve"> (error to terminate the father’s parental rights based on a ground not pled by petitioner-mother; “[I]t is a denial of procedural due process rights of notice and a fair hearing” to terminate parental rights on a ground not pleaded.”) (citations omitted)</w:t>
      </w:r>
      <w:r w:rsidR="00A222A6" w:rsidRPr="00F86ED6">
        <w:rPr>
          <w:rFonts w:ascii="Times New Roman" w:hAnsi="Times New Roman" w:cs="Times New Roman"/>
          <w:sz w:val="24"/>
          <w:szCs w:val="24"/>
        </w:rPr>
        <w:t>;</w:t>
      </w:r>
      <w:r w:rsidR="004E74FA" w:rsidRPr="00F86ED6">
        <w:rPr>
          <w:rFonts w:ascii="Times New Roman" w:hAnsi="Times New Roman" w:cs="Times New Roman"/>
          <w:sz w:val="24"/>
          <w:szCs w:val="24"/>
        </w:rPr>
        <w:t xml:space="preserve"> </w:t>
      </w:r>
      <w:r w:rsidR="00886EE1" w:rsidRPr="00F86ED6">
        <w:rPr>
          <w:rFonts w:ascii="Times New Roman" w:hAnsi="Times New Roman" w:cs="Times New Roman"/>
          <w:sz w:val="24"/>
          <w:szCs w:val="24"/>
          <w:u w:val="single"/>
        </w:rPr>
        <w:t xml:space="preserve">In </w:t>
      </w:r>
      <w:r w:rsidR="008605E3" w:rsidRPr="00F86ED6">
        <w:rPr>
          <w:rFonts w:ascii="Times New Roman" w:hAnsi="Times New Roman" w:cs="Times New Roman"/>
          <w:sz w:val="24"/>
          <w:szCs w:val="24"/>
          <w:u w:val="single"/>
        </w:rPr>
        <w:t>re</w:t>
      </w:r>
      <w:r w:rsidR="00886EE1" w:rsidRPr="00F86ED6">
        <w:rPr>
          <w:rFonts w:ascii="Times New Roman" w:hAnsi="Times New Roman" w:cs="Times New Roman"/>
          <w:sz w:val="24"/>
          <w:szCs w:val="24"/>
          <w:u w:val="single"/>
        </w:rPr>
        <w:t xml:space="preserve"> Jason P.S.</w:t>
      </w:r>
      <w:r w:rsidR="00937AB5" w:rsidRPr="00F86ED6">
        <w:rPr>
          <w:rFonts w:ascii="Times New Roman" w:hAnsi="Times New Roman" w:cs="Times New Roman"/>
          <w:sz w:val="24"/>
          <w:szCs w:val="24"/>
        </w:rPr>
        <w:t>,</w:t>
      </w:r>
      <w:r w:rsidR="00886EE1" w:rsidRPr="00F86ED6">
        <w:rPr>
          <w:rFonts w:ascii="Times New Roman" w:hAnsi="Times New Roman" w:cs="Times New Roman"/>
          <w:sz w:val="24"/>
          <w:szCs w:val="24"/>
        </w:rPr>
        <w:t xml:space="preserve"> </w:t>
      </w:r>
      <w:r w:rsidR="00F47A21" w:rsidRPr="00F86ED6">
        <w:rPr>
          <w:rFonts w:ascii="Times New Roman" w:hAnsi="Times New Roman" w:cs="Times New Roman"/>
          <w:sz w:val="24"/>
          <w:szCs w:val="24"/>
        </w:rPr>
        <w:t xml:space="preserve">537 N.W.2d 47, </w:t>
      </w:r>
      <w:r w:rsidR="001D563A" w:rsidRPr="00F86ED6">
        <w:rPr>
          <w:rFonts w:ascii="Times New Roman" w:hAnsi="Times New Roman" w:cs="Times New Roman"/>
          <w:sz w:val="24"/>
          <w:szCs w:val="24"/>
        </w:rPr>
        <w:t xml:space="preserve">50 </w:t>
      </w:r>
      <w:r w:rsidR="00F47A21" w:rsidRPr="00F86ED6">
        <w:rPr>
          <w:rFonts w:ascii="Times New Roman" w:hAnsi="Times New Roman" w:cs="Times New Roman"/>
          <w:sz w:val="24"/>
          <w:szCs w:val="24"/>
        </w:rPr>
        <w:t>(Wis.</w:t>
      </w:r>
      <w:r w:rsidR="00ED053E" w:rsidRPr="00F86ED6">
        <w:rPr>
          <w:rFonts w:ascii="Times New Roman" w:hAnsi="Times New Roman" w:cs="Times New Roman"/>
          <w:sz w:val="24"/>
          <w:szCs w:val="24"/>
        </w:rPr>
        <w:t xml:space="preserve"> </w:t>
      </w:r>
      <w:r w:rsidR="00F47A21" w:rsidRPr="00F86ED6">
        <w:rPr>
          <w:rFonts w:ascii="Times New Roman" w:hAnsi="Times New Roman" w:cs="Times New Roman"/>
          <w:sz w:val="24"/>
          <w:szCs w:val="24"/>
        </w:rPr>
        <w:t>Ct.</w:t>
      </w:r>
      <w:r w:rsidR="00ED053E" w:rsidRPr="00F86ED6">
        <w:rPr>
          <w:rFonts w:ascii="Times New Roman" w:hAnsi="Times New Roman" w:cs="Times New Roman"/>
          <w:sz w:val="24"/>
          <w:szCs w:val="24"/>
        </w:rPr>
        <w:t xml:space="preserve"> App.</w:t>
      </w:r>
      <w:r w:rsidR="00CB633C" w:rsidRPr="00F86ED6">
        <w:rPr>
          <w:rFonts w:ascii="Times New Roman" w:hAnsi="Times New Roman" w:cs="Times New Roman"/>
          <w:sz w:val="24"/>
          <w:szCs w:val="24"/>
        </w:rPr>
        <w:t xml:space="preserve"> 1995)</w:t>
      </w:r>
      <w:r w:rsidR="00F86ED6" w:rsidRPr="00F86ED6">
        <w:rPr>
          <w:rFonts w:ascii="Times New Roman" w:hAnsi="Times New Roman" w:cs="Times New Roman"/>
          <w:sz w:val="24"/>
          <w:szCs w:val="24"/>
        </w:rPr>
        <w:t xml:space="preserve"> (termination reversed: “[W]hen the State warns a parent that his or her rights to a child may be lost because of the parent’s future conduct, if the State substantially changes the type of conduct that may lead to the loss of rights without notice to the parent, the State applies a fundamentally unfair procedure.  That is what has happened here.”)</w:t>
      </w:r>
      <w:r w:rsidR="00886EE1" w:rsidRPr="00F86ED6">
        <w:rPr>
          <w:rFonts w:ascii="Times New Roman" w:hAnsi="Times New Roman" w:cs="Times New Roman"/>
          <w:sz w:val="24"/>
          <w:szCs w:val="24"/>
        </w:rPr>
        <w:t xml:space="preserve">; </w:t>
      </w:r>
      <w:r w:rsidR="0002022C" w:rsidRPr="00F86ED6">
        <w:rPr>
          <w:rFonts w:ascii="Times New Roman" w:hAnsi="Times New Roman" w:cs="Times New Roman"/>
          <w:sz w:val="24"/>
          <w:szCs w:val="24"/>
          <w:u w:val="single"/>
        </w:rPr>
        <w:t>In re N.P.</w:t>
      </w:r>
      <w:r w:rsidR="0002022C" w:rsidRPr="00F86ED6">
        <w:rPr>
          <w:rFonts w:ascii="Times New Roman" w:hAnsi="Times New Roman" w:cs="Times New Roman"/>
          <w:sz w:val="24"/>
          <w:szCs w:val="24"/>
        </w:rPr>
        <w:t xml:space="preserve">, </w:t>
      </w:r>
      <w:r w:rsidR="00004059" w:rsidRPr="00F86ED6">
        <w:rPr>
          <w:rFonts w:ascii="Times New Roman" w:hAnsi="Times New Roman" w:cs="Times New Roman"/>
          <w:sz w:val="24"/>
          <w:szCs w:val="24"/>
        </w:rPr>
        <w:t>No. 49A04-1703-JC-446</w:t>
      </w:r>
      <w:r w:rsidR="00F86ED6">
        <w:rPr>
          <w:rFonts w:ascii="Times New Roman" w:hAnsi="Times New Roman" w:cs="Times New Roman"/>
          <w:sz w:val="24"/>
          <w:szCs w:val="24"/>
        </w:rPr>
        <w:t>,</w:t>
      </w:r>
      <w:r w:rsidR="00004059" w:rsidRPr="00F86ED6">
        <w:rPr>
          <w:rFonts w:ascii="Times New Roman" w:hAnsi="Times New Roman" w:cs="Times New Roman"/>
          <w:sz w:val="24"/>
          <w:szCs w:val="24"/>
        </w:rPr>
        <w:t xml:space="preserve"> </w:t>
      </w:r>
      <w:r w:rsidR="00096502" w:rsidRPr="00F86ED6">
        <w:rPr>
          <w:rFonts w:ascii="Times New Roman" w:hAnsi="Times New Roman" w:cs="Times New Roman"/>
          <w:sz w:val="24"/>
          <w:szCs w:val="24"/>
        </w:rPr>
        <w:t>2017 WL 3568609</w:t>
      </w:r>
      <w:r w:rsidR="00170A3F" w:rsidRPr="00F86ED6">
        <w:rPr>
          <w:rFonts w:ascii="Times New Roman" w:hAnsi="Times New Roman" w:cs="Times New Roman"/>
          <w:sz w:val="24"/>
          <w:szCs w:val="24"/>
        </w:rPr>
        <w:t>, at *</w:t>
      </w:r>
      <w:r w:rsidR="006C25BF" w:rsidRPr="00F86ED6">
        <w:rPr>
          <w:rFonts w:ascii="Times New Roman" w:hAnsi="Times New Roman" w:cs="Times New Roman"/>
          <w:sz w:val="24"/>
          <w:szCs w:val="24"/>
        </w:rPr>
        <w:t>4–*5</w:t>
      </w:r>
      <w:r w:rsidR="0002022C" w:rsidRPr="00F86ED6">
        <w:rPr>
          <w:rFonts w:ascii="Times New Roman" w:hAnsi="Times New Roman" w:cs="Times New Roman"/>
          <w:sz w:val="24"/>
          <w:szCs w:val="24"/>
        </w:rPr>
        <w:t xml:space="preserve"> (Ind. Ct. App. </w:t>
      </w:r>
      <w:r w:rsidR="004C5430" w:rsidRPr="00F86ED6">
        <w:rPr>
          <w:rFonts w:ascii="Times New Roman" w:hAnsi="Times New Roman" w:cs="Times New Roman"/>
          <w:sz w:val="24"/>
          <w:szCs w:val="24"/>
        </w:rPr>
        <w:t xml:space="preserve">Aug. 8, </w:t>
      </w:r>
      <w:r w:rsidR="0002022C" w:rsidRPr="00F86ED6">
        <w:rPr>
          <w:rFonts w:ascii="Times New Roman" w:hAnsi="Times New Roman" w:cs="Times New Roman"/>
          <w:sz w:val="24"/>
          <w:szCs w:val="24"/>
        </w:rPr>
        <w:t>2017)</w:t>
      </w:r>
      <w:r w:rsidR="00BD03F0" w:rsidRPr="00F86ED6">
        <w:rPr>
          <w:rFonts w:ascii="Times New Roman" w:hAnsi="Times New Roman" w:cs="Times New Roman"/>
          <w:sz w:val="24"/>
          <w:szCs w:val="24"/>
        </w:rPr>
        <w:t xml:space="preserve"> (holding there had been a violation of due process where CHINS </w:t>
      </w:r>
      <w:r w:rsidR="00325A8B" w:rsidRPr="00F86ED6">
        <w:rPr>
          <w:rFonts w:ascii="Times New Roman" w:hAnsi="Times New Roman" w:cs="Times New Roman"/>
          <w:sz w:val="24"/>
          <w:szCs w:val="24"/>
        </w:rPr>
        <w:t>petition alleged terrible conditions in the home, but the state removed the children based on evidence</w:t>
      </w:r>
      <w:r w:rsidR="006048F1" w:rsidRPr="00F86ED6">
        <w:rPr>
          <w:rFonts w:ascii="Times New Roman" w:hAnsi="Times New Roman" w:cs="Times New Roman"/>
          <w:sz w:val="24"/>
          <w:szCs w:val="24"/>
        </w:rPr>
        <w:t xml:space="preserve"> brought at trial </w:t>
      </w:r>
      <w:r w:rsidR="00325A8B" w:rsidRPr="00F86ED6">
        <w:rPr>
          <w:rFonts w:ascii="Times New Roman" w:hAnsi="Times New Roman" w:cs="Times New Roman"/>
          <w:sz w:val="24"/>
          <w:szCs w:val="24"/>
        </w:rPr>
        <w:t>regarding parents</w:t>
      </w:r>
      <w:r w:rsidR="005F4EBE" w:rsidRPr="00F86ED6">
        <w:rPr>
          <w:rFonts w:ascii="Times New Roman" w:hAnsi="Times New Roman" w:cs="Times New Roman"/>
          <w:sz w:val="24"/>
          <w:szCs w:val="24"/>
        </w:rPr>
        <w:t>’</w:t>
      </w:r>
      <w:r w:rsidR="00325A8B" w:rsidRPr="00F86ED6">
        <w:rPr>
          <w:rFonts w:ascii="Times New Roman" w:hAnsi="Times New Roman" w:cs="Times New Roman"/>
          <w:sz w:val="24"/>
          <w:szCs w:val="24"/>
        </w:rPr>
        <w:t xml:space="preserve"> mental health</w:t>
      </w:r>
      <w:r w:rsidR="00BD03F0" w:rsidRPr="00F86ED6">
        <w:rPr>
          <w:rFonts w:ascii="Times New Roman" w:hAnsi="Times New Roman" w:cs="Times New Roman"/>
          <w:sz w:val="24"/>
          <w:szCs w:val="24"/>
        </w:rPr>
        <w:t>)</w:t>
      </w:r>
      <w:r w:rsidR="000E2B94" w:rsidRPr="00F86ED6">
        <w:rPr>
          <w:rFonts w:ascii="Times New Roman" w:hAnsi="Times New Roman" w:cs="Times New Roman"/>
          <w:sz w:val="24"/>
          <w:szCs w:val="24"/>
        </w:rPr>
        <w:t xml:space="preserve">; </w:t>
      </w:r>
      <w:r w:rsidR="00937AB5" w:rsidRPr="00F86ED6">
        <w:rPr>
          <w:rFonts w:ascii="Times New Roman" w:hAnsi="Times New Roman" w:cs="Times New Roman"/>
          <w:sz w:val="24"/>
          <w:szCs w:val="24"/>
          <w:u w:val="single"/>
        </w:rPr>
        <w:t>L.A.G. v. Dep’t of Child &amp; Fam. Servs.</w:t>
      </w:r>
      <w:r w:rsidR="00937AB5" w:rsidRPr="00F86ED6">
        <w:rPr>
          <w:rFonts w:ascii="Times New Roman" w:hAnsi="Times New Roman" w:cs="Times New Roman"/>
          <w:sz w:val="24"/>
          <w:szCs w:val="24"/>
        </w:rPr>
        <w:t>, 963 So.2d 725, 726 (Fla. 3</w:t>
      </w:r>
      <w:r w:rsidR="00937AB5" w:rsidRPr="00F86ED6">
        <w:rPr>
          <w:rFonts w:ascii="Times New Roman" w:hAnsi="Times New Roman" w:cs="Times New Roman"/>
          <w:sz w:val="24"/>
          <w:szCs w:val="24"/>
          <w:vertAlign w:val="superscript"/>
        </w:rPr>
        <w:t>rd</w:t>
      </w:r>
      <w:r w:rsidR="00937AB5" w:rsidRPr="00F86ED6">
        <w:rPr>
          <w:rFonts w:ascii="Times New Roman" w:hAnsi="Times New Roman" w:cs="Times New Roman"/>
          <w:sz w:val="24"/>
          <w:szCs w:val="24"/>
        </w:rPr>
        <w:t xml:space="preserve"> Dist. Ct. App. 2007) (“holding that the termination order violates due process because it was based on grounds not asserted in the termination petition and noting that the first time the ground used to terminate appeared was in the written termination order).</w:t>
      </w:r>
    </w:p>
    <w:p w14:paraId="138606AF" w14:textId="38143CE8" w:rsidR="00DD0F9C" w:rsidRDefault="008E52AD" w:rsidP="00BC2B05">
      <w:pPr>
        <w:spacing w:line="480" w:lineRule="auto"/>
        <w:ind w:firstLine="720"/>
        <w:rPr>
          <w:rFonts w:ascii="Times New Roman" w:hAnsi="Times New Roman" w:cs="Times New Roman"/>
          <w:sz w:val="24"/>
          <w:szCs w:val="24"/>
        </w:rPr>
      </w:pPr>
      <w:r w:rsidRPr="00AE71E4">
        <w:rPr>
          <w:rFonts w:ascii="Times New Roman" w:hAnsi="Times New Roman" w:cs="Times New Roman"/>
          <w:sz w:val="24"/>
          <w:szCs w:val="24"/>
        </w:rPr>
        <w:t>Misleading or insufficiently specific pleading</w:t>
      </w:r>
      <w:r w:rsidR="00AB3C98">
        <w:rPr>
          <w:rFonts w:ascii="Times New Roman" w:hAnsi="Times New Roman" w:cs="Times New Roman"/>
          <w:sz w:val="24"/>
          <w:szCs w:val="24"/>
        </w:rPr>
        <w:t>s</w:t>
      </w:r>
      <w:r w:rsidRPr="00AE71E4">
        <w:rPr>
          <w:rFonts w:ascii="Times New Roman" w:hAnsi="Times New Roman" w:cs="Times New Roman"/>
          <w:sz w:val="24"/>
          <w:szCs w:val="24"/>
        </w:rPr>
        <w:t xml:space="preserve"> also violate due process. </w:t>
      </w:r>
      <w:r w:rsidR="00AE71E4" w:rsidRPr="00AB3C98">
        <w:rPr>
          <w:rFonts w:ascii="Times New Roman" w:hAnsi="Times New Roman" w:cs="Times New Roman"/>
          <w:sz w:val="24"/>
          <w:szCs w:val="24"/>
          <w:u w:val="single"/>
        </w:rPr>
        <w:t>New Jersey Div. of Youth &amp; Family Servs. v. B.M.</w:t>
      </w:r>
      <w:r w:rsidR="00AE71E4" w:rsidRPr="00AE71E4">
        <w:rPr>
          <w:rFonts w:ascii="Times New Roman" w:hAnsi="Times New Roman" w:cs="Times New Roman"/>
          <w:sz w:val="24"/>
          <w:szCs w:val="24"/>
        </w:rPr>
        <w:t>, 993 A.2d 258, 264 (</w:t>
      </w:r>
      <w:r w:rsidR="00AB3C98">
        <w:rPr>
          <w:rFonts w:ascii="Times New Roman" w:hAnsi="Times New Roman" w:cs="Times New Roman"/>
          <w:sz w:val="24"/>
          <w:szCs w:val="24"/>
        </w:rPr>
        <w:t xml:space="preserve">N.J. </w:t>
      </w:r>
      <w:r w:rsidR="00AE71E4" w:rsidRPr="00AE71E4">
        <w:rPr>
          <w:rFonts w:ascii="Times New Roman" w:hAnsi="Times New Roman" w:cs="Times New Roman"/>
          <w:sz w:val="24"/>
          <w:szCs w:val="24"/>
        </w:rPr>
        <w:t xml:space="preserve">App. Div. 2010) </w:t>
      </w:r>
      <w:r w:rsidRPr="00AE71E4">
        <w:rPr>
          <w:rFonts w:ascii="Times New Roman" w:hAnsi="Times New Roman" w:cs="Times New Roman"/>
          <w:sz w:val="24"/>
          <w:szCs w:val="24"/>
        </w:rPr>
        <w:t>(</w:t>
      </w:r>
      <w:r w:rsidR="00955885" w:rsidRPr="00AE71E4">
        <w:rPr>
          <w:rFonts w:ascii="Times New Roman" w:hAnsi="Times New Roman" w:cs="Times New Roman"/>
          <w:sz w:val="24"/>
          <w:szCs w:val="24"/>
        </w:rPr>
        <w:t>notice that alleged abuse and neglect of newborn but did not warn parents that the child had fetal alcohol syndrome was a violation of due process</w:t>
      </w:r>
      <w:r w:rsidRPr="00AE71E4">
        <w:rPr>
          <w:rFonts w:ascii="Times New Roman" w:hAnsi="Times New Roman" w:cs="Times New Roman"/>
          <w:sz w:val="24"/>
          <w:szCs w:val="24"/>
        </w:rPr>
        <w:t>)</w:t>
      </w:r>
      <w:r w:rsidR="00955885" w:rsidRPr="00AE71E4">
        <w:rPr>
          <w:rFonts w:ascii="Times New Roman" w:hAnsi="Times New Roman" w:cs="Times New Roman"/>
          <w:sz w:val="24"/>
          <w:szCs w:val="24"/>
        </w:rPr>
        <w:t xml:space="preserve">. </w:t>
      </w:r>
      <w:r w:rsidR="00E34A06">
        <w:rPr>
          <w:rFonts w:ascii="Times New Roman" w:hAnsi="Times New Roman" w:cs="Times New Roman"/>
          <w:sz w:val="24"/>
          <w:szCs w:val="24"/>
        </w:rPr>
        <w:t>Adding</w:t>
      </w:r>
      <w:r w:rsidR="00645AB7" w:rsidRPr="00AE71E4">
        <w:rPr>
          <w:rFonts w:ascii="Times New Roman" w:hAnsi="Times New Roman" w:cs="Times New Roman"/>
          <w:sz w:val="24"/>
          <w:szCs w:val="24"/>
        </w:rPr>
        <w:t xml:space="preserve"> grounds during trial also deprives parents of due process</w:t>
      </w:r>
      <w:r w:rsidR="002F65E4" w:rsidRPr="00AE71E4">
        <w:rPr>
          <w:rFonts w:ascii="Times New Roman" w:hAnsi="Times New Roman" w:cs="Times New Roman"/>
          <w:sz w:val="24"/>
          <w:szCs w:val="24"/>
        </w:rPr>
        <w:t xml:space="preserve"> where the original pleadings did not give notice that the parents would have to defend </w:t>
      </w:r>
      <w:r w:rsidR="00E34A06">
        <w:rPr>
          <w:rFonts w:ascii="Times New Roman" w:hAnsi="Times New Roman" w:cs="Times New Roman"/>
          <w:sz w:val="24"/>
          <w:szCs w:val="24"/>
        </w:rPr>
        <w:t xml:space="preserve">on </w:t>
      </w:r>
      <w:r w:rsidR="002F65E4" w:rsidRPr="00AE71E4">
        <w:rPr>
          <w:rFonts w:ascii="Times New Roman" w:hAnsi="Times New Roman" w:cs="Times New Roman"/>
          <w:sz w:val="24"/>
          <w:szCs w:val="24"/>
        </w:rPr>
        <w:t>those grounds</w:t>
      </w:r>
      <w:r w:rsidR="00645AB7" w:rsidRPr="00AE71E4">
        <w:rPr>
          <w:rFonts w:ascii="Times New Roman" w:hAnsi="Times New Roman" w:cs="Times New Roman"/>
          <w:sz w:val="24"/>
          <w:szCs w:val="24"/>
        </w:rPr>
        <w:t xml:space="preserve">. </w:t>
      </w:r>
      <w:r w:rsidR="00645AB7" w:rsidRPr="00AE71E4">
        <w:rPr>
          <w:rFonts w:ascii="Times New Roman" w:hAnsi="Times New Roman" w:cs="Times New Roman"/>
          <w:sz w:val="24"/>
          <w:szCs w:val="24"/>
          <w:u w:val="single"/>
        </w:rPr>
        <w:t>See</w:t>
      </w:r>
      <w:r w:rsidR="00645AB7" w:rsidRPr="00E34A06">
        <w:rPr>
          <w:rFonts w:ascii="Times New Roman" w:hAnsi="Times New Roman" w:cs="Times New Roman"/>
          <w:sz w:val="24"/>
          <w:szCs w:val="24"/>
        </w:rPr>
        <w:t xml:space="preserve"> </w:t>
      </w:r>
      <w:r w:rsidR="002F65E4" w:rsidRPr="00E34A06">
        <w:rPr>
          <w:rFonts w:ascii="Times New Roman" w:hAnsi="Times New Roman" w:cs="Times New Roman"/>
          <w:sz w:val="24"/>
          <w:szCs w:val="24"/>
          <w:u w:val="single"/>
        </w:rPr>
        <w:t>Roberto F. v. Arizona Dep't of Econ. Sec.</w:t>
      </w:r>
      <w:r w:rsidR="002F65E4" w:rsidRPr="00AE71E4">
        <w:rPr>
          <w:rFonts w:ascii="Times New Roman" w:hAnsi="Times New Roman" w:cs="Times New Roman"/>
          <w:sz w:val="24"/>
          <w:szCs w:val="24"/>
        </w:rPr>
        <w:t>, 301 P.3d 211</w:t>
      </w:r>
      <w:r w:rsidR="007B71FB">
        <w:rPr>
          <w:rFonts w:ascii="Times New Roman" w:hAnsi="Times New Roman" w:cs="Times New Roman"/>
          <w:sz w:val="24"/>
          <w:szCs w:val="24"/>
        </w:rPr>
        <w:t xml:space="preserve">, </w:t>
      </w:r>
      <w:r w:rsidR="00B53CAE">
        <w:rPr>
          <w:rFonts w:ascii="Times New Roman" w:hAnsi="Times New Roman" w:cs="Times New Roman"/>
          <w:sz w:val="24"/>
          <w:szCs w:val="24"/>
        </w:rPr>
        <w:t>221</w:t>
      </w:r>
      <w:r w:rsidR="002F65E4" w:rsidRPr="00AE71E4">
        <w:rPr>
          <w:rFonts w:ascii="Times New Roman" w:hAnsi="Times New Roman" w:cs="Times New Roman"/>
          <w:sz w:val="24"/>
          <w:szCs w:val="24"/>
        </w:rPr>
        <w:t xml:space="preserve"> (</w:t>
      </w:r>
      <w:r w:rsidR="00E34A06">
        <w:rPr>
          <w:rFonts w:ascii="Times New Roman" w:hAnsi="Times New Roman" w:cs="Times New Roman"/>
          <w:sz w:val="24"/>
          <w:szCs w:val="24"/>
        </w:rPr>
        <w:t xml:space="preserve">Ariz. </w:t>
      </w:r>
      <w:r w:rsidR="002F65E4" w:rsidRPr="00AE71E4">
        <w:rPr>
          <w:rFonts w:ascii="Times New Roman" w:hAnsi="Times New Roman" w:cs="Times New Roman"/>
          <w:sz w:val="24"/>
          <w:szCs w:val="24"/>
        </w:rPr>
        <w:t>Ct. App. 2013)</w:t>
      </w:r>
      <w:r w:rsidR="00B53CAE">
        <w:rPr>
          <w:rFonts w:ascii="Times New Roman" w:hAnsi="Times New Roman" w:cs="Times New Roman"/>
          <w:sz w:val="24"/>
          <w:szCs w:val="24"/>
        </w:rPr>
        <w:t xml:space="preserve"> </w:t>
      </w:r>
      <w:r w:rsidR="002F65E4" w:rsidRPr="00AE71E4">
        <w:rPr>
          <w:rFonts w:ascii="Times New Roman" w:hAnsi="Times New Roman" w:cs="Times New Roman"/>
          <w:sz w:val="24"/>
          <w:szCs w:val="24"/>
        </w:rPr>
        <w:t>(</w:t>
      </w:r>
      <w:r w:rsidR="00A94B76" w:rsidRPr="00AE71E4">
        <w:rPr>
          <w:rFonts w:ascii="Times New Roman" w:hAnsi="Times New Roman" w:cs="Times New Roman"/>
          <w:sz w:val="24"/>
          <w:szCs w:val="24"/>
        </w:rPr>
        <w:t>trial court's allowing of foster parents to amend, on fourth day of five-day trial, their intervenors' petition to allege abandonment of children by father denied father his due process rights to notice and op</w:t>
      </w:r>
      <w:r w:rsidR="00F86ED6">
        <w:rPr>
          <w:rFonts w:ascii="Times New Roman" w:hAnsi="Times New Roman" w:cs="Times New Roman"/>
          <w:sz w:val="24"/>
          <w:szCs w:val="24"/>
        </w:rPr>
        <w:t xml:space="preserve">portunity to prepare a defense); </w:t>
      </w:r>
      <w:r w:rsidR="00F86ED6" w:rsidRPr="00F86ED6">
        <w:rPr>
          <w:rFonts w:ascii="Times New Roman" w:hAnsi="Times New Roman" w:cs="Times New Roman"/>
          <w:sz w:val="24"/>
          <w:szCs w:val="24"/>
          <w:u w:val="single"/>
        </w:rPr>
        <w:t>In re T.C.</w:t>
      </w:r>
      <w:r w:rsidR="00F86ED6" w:rsidRPr="00F86ED6">
        <w:rPr>
          <w:rFonts w:ascii="Times New Roman" w:hAnsi="Times New Roman" w:cs="Times New Roman"/>
          <w:sz w:val="24"/>
          <w:szCs w:val="24"/>
        </w:rPr>
        <w:t>, 37 P.3d 70, 75 (Mont. 2001) (allowing the agency to amend its pleadings to add a new ground for termination after the termination hearing offended due process;  “[a]llowing a party to amend the pleadings creates a question of due process in cases where the defendant may not have had an adequate opportunity to prepare her case on the new issues raised by the amended pleadings.”)</w:t>
      </w:r>
      <w:r w:rsidR="00F86ED6">
        <w:rPr>
          <w:rFonts w:ascii="Times New Roman" w:hAnsi="Times New Roman" w:cs="Times New Roman"/>
          <w:sz w:val="24"/>
          <w:szCs w:val="24"/>
        </w:rPr>
        <w:t>.</w:t>
      </w:r>
      <w:r w:rsidR="00A94B76" w:rsidRPr="00AE71E4">
        <w:rPr>
          <w:rFonts w:ascii="Times New Roman" w:hAnsi="Times New Roman" w:cs="Times New Roman"/>
          <w:sz w:val="24"/>
          <w:szCs w:val="24"/>
        </w:rPr>
        <w:t xml:space="preserve"> </w:t>
      </w:r>
    </w:p>
    <w:p w14:paraId="69FC7F1D" w14:textId="394F8A33" w:rsidR="00B84D3F" w:rsidRPr="00AE71E4" w:rsidRDefault="00193FC4" w:rsidP="00B53CAE">
      <w:pPr>
        <w:spacing w:line="480" w:lineRule="auto"/>
        <w:jc w:val="center"/>
        <w:rPr>
          <w:rFonts w:ascii="Times New Roman" w:hAnsi="Times New Roman" w:cs="Times New Roman"/>
          <w:b/>
          <w:sz w:val="24"/>
          <w:szCs w:val="24"/>
        </w:rPr>
      </w:pPr>
      <w:r w:rsidRPr="00AE71E4">
        <w:rPr>
          <w:rFonts w:ascii="Times New Roman" w:hAnsi="Times New Roman" w:cs="Times New Roman"/>
          <w:b/>
          <w:sz w:val="24"/>
          <w:szCs w:val="24"/>
        </w:rPr>
        <w:t>CONCLUSION</w:t>
      </w:r>
    </w:p>
    <w:p w14:paraId="079AAE5D" w14:textId="18F4B2FF" w:rsidR="00F86ED6" w:rsidRDefault="00B53CAE" w:rsidP="00BC2B05">
      <w:pPr>
        <w:spacing w:line="480" w:lineRule="auto"/>
        <w:rPr>
          <w:rFonts w:ascii="Times New Roman" w:hAnsi="Times New Roman" w:cs="Times New Roman"/>
          <w:sz w:val="24"/>
          <w:szCs w:val="24"/>
        </w:rPr>
      </w:pPr>
      <w:r>
        <w:rPr>
          <w:rFonts w:ascii="Times New Roman" w:hAnsi="Times New Roman" w:cs="Times New Roman"/>
          <w:sz w:val="24"/>
          <w:szCs w:val="24"/>
        </w:rPr>
        <w:tab/>
      </w:r>
      <w:r w:rsidR="00F86ED6">
        <w:rPr>
          <w:rFonts w:ascii="Times New Roman" w:hAnsi="Times New Roman" w:cs="Times New Roman"/>
          <w:sz w:val="24"/>
          <w:szCs w:val="24"/>
        </w:rPr>
        <w:t>Section 26(b) requires that the petitioner prove the facts alleged in the petition in order to secure a care and protection adjudication.   This suggests that DCF cannot prove un-alleged facts in order to obtain an adju</w:t>
      </w:r>
      <w:r w:rsidR="00931C10">
        <w:rPr>
          <w:rFonts w:ascii="Times New Roman" w:hAnsi="Times New Roman" w:cs="Times New Roman"/>
          <w:sz w:val="24"/>
          <w:szCs w:val="24"/>
        </w:rPr>
        <w:t>di</w:t>
      </w:r>
      <w:r w:rsidR="00F86ED6">
        <w:rPr>
          <w:rFonts w:ascii="Times New Roman" w:hAnsi="Times New Roman" w:cs="Times New Roman"/>
          <w:sz w:val="24"/>
          <w:szCs w:val="24"/>
        </w:rPr>
        <w:t>cation.</w:t>
      </w:r>
    </w:p>
    <w:p w14:paraId="3AE7AC3E" w14:textId="7E839DDA" w:rsidR="00291A2E" w:rsidRDefault="00F86ED6" w:rsidP="00F86ED6">
      <w:pPr>
        <w:spacing w:line="480" w:lineRule="auto"/>
        <w:ind w:firstLine="720"/>
        <w:rPr>
          <w:rFonts w:ascii="Times New Roman" w:hAnsi="Times New Roman" w:cs="Times New Roman"/>
          <w:sz w:val="24"/>
          <w:szCs w:val="24"/>
        </w:rPr>
      </w:pPr>
      <w:r>
        <w:rPr>
          <w:rFonts w:ascii="Times New Roman" w:hAnsi="Times New Roman" w:cs="Times New Roman"/>
          <w:sz w:val="24"/>
          <w:szCs w:val="24"/>
        </w:rPr>
        <w:t>Fu</w:t>
      </w:r>
      <w:r w:rsidR="00291A2E">
        <w:rPr>
          <w:rFonts w:ascii="Times New Roman" w:hAnsi="Times New Roman" w:cs="Times New Roman"/>
          <w:sz w:val="24"/>
          <w:szCs w:val="24"/>
        </w:rPr>
        <w:t>r</w:t>
      </w:r>
      <w:r>
        <w:rPr>
          <w:rFonts w:ascii="Times New Roman" w:hAnsi="Times New Roman" w:cs="Times New Roman"/>
          <w:sz w:val="24"/>
          <w:szCs w:val="24"/>
        </w:rPr>
        <w:t>ther, due process requires that parents have notice of</w:t>
      </w:r>
      <w:r w:rsidR="00291A2E">
        <w:rPr>
          <w:rFonts w:ascii="Times New Roman" w:hAnsi="Times New Roman" w:cs="Times New Roman"/>
          <w:sz w:val="24"/>
          <w:szCs w:val="24"/>
        </w:rPr>
        <w:t xml:space="preserve"> adverse allegations against them as well as </w:t>
      </w:r>
      <w:r>
        <w:rPr>
          <w:rFonts w:ascii="Times New Roman" w:hAnsi="Times New Roman" w:cs="Times New Roman"/>
          <w:sz w:val="24"/>
          <w:szCs w:val="24"/>
        </w:rPr>
        <w:t xml:space="preserve">a fair opportunity </w:t>
      </w:r>
      <w:r w:rsidR="00291A2E">
        <w:rPr>
          <w:rFonts w:ascii="Times New Roman" w:hAnsi="Times New Roman" w:cs="Times New Roman"/>
          <w:sz w:val="24"/>
          <w:szCs w:val="24"/>
        </w:rPr>
        <w:t xml:space="preserve">to rebut those adverse allegations.  They lack that essential notice and fair opportunity to rebut if DCF need not allege the bases of unfitness or if DCF changes its allegations at </w:t>
      </w:r>
      <w:r w:rsidR="00931C10">
        <w:rPr>
          <w:rFonts w:ascii="Times New Roman" w:hAnsi="Times New Roman" w:cs="Times New Roman"/>
          <w:sz w:val="24"/>
          <w:szCs w:val="24"/>
        </w:rPr>
        <w:t xml:space="preserve">(or after) </w:t>
      </w:r>
      <w:r w:rsidR="00291A2E">
        <w:rPr>
          <w:rFonts w:ascii="Times New Roman" w:hAnsi="Times New Roman" w:cs="Times New Roman"/>
          <w:sz w:val="24"/>
          <w:szCs w:val="24"/>
        </w:rPr>
        <w:t xml:space="preserve">trial.  Massachusetts case law on general notice principles supports this view, as do dependency/abuse and neglect cases in other jurisdictions.  </w:t>
      </w:r>
    </w:p>
    <w:p w14:paraId="28DF7B22" w14:textId="19620682" w:rsidR="00E12466" w:rsidRPr="00AE71E4" w:rsidRDefault="00291A2E" w:rsidP="00291A2E">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order to preserve this issue, parents should object to the lack of specific allegations</w:t>
      </w:r>
      <w:r w:rsidR="00931C10">
        <w:rPr>
          <w:rFonts w:ascii="Times New Roman" w:hAnsi="Times New Roman" w:cs="Times New Roman"/>
          <w:sz w:val="24"/>
          <w:szCs w:val="24"/>
        </w:rPr>
        <w:t xml:space="preserve"> before trial</w:t>
      </w:r>
      <w:r>
        <w:rPr>
          <w:rFonts w:ascii="Times New Roman" w:hAnsi="Times New Roman" w:cs="Times New Roman"/>
          <w:sz w:val="24"/>
          <w:szCs w:val="24"/>
        </w:rPr>
        <w:t xml:space="preserve">; they should also object to DCF’s attempts at trial to raise adverse allegations of which the parent had no notice.  </w:t>
      </w:r>
      <w:r w:rsidR="00931C10">
        <w:rPr>
          <w:rFonts w:ascii="Times New Roman" w:hAnsi="Times New Roman" w:cs="Times New Roman"/>
          <w:sz w:val="24"/>
          <w:szCs w:val="24"/>
        </w:rPr>
        <w:t>If the court permits DCF to argue parental unfitness on grounds it has not alleged, th</w:t>
      </w:r>
      <w:r>
        <w:rPr>
          <w:rFonts w:ascii="Times New Roman" w:hAnsi="Times New Roman" w:cs="Times New Roman"/>
          <w:sz w:val="24"/>
          <w:szCs w:val="24"/>
        </w:rPr>
        <w:t>e parent should request a continuance in order to have a meaningful opportunity to attempt to rebut the new allegations.  The failure to object and ask for a continuance may lead to waiver of this issue</w:t>
      </w:r>
      <w:r w:rsidR="00FA60D0">
        <w:rPr>
          <w:rFonts w:ascii="Times New Roman" w:hAnsi="Times New Roman" w:cs="Times New Roman"/>
          <w:sz w:val="24"/>
          <w:szCs w:val="24"/>
        </w:rPr>
        <w:t xml:space="preserve">. </w:t>
      </w:r>
    </w:p>
    <w:p w14:paraId="014DDFF2" w14:textId="2394E590" w:rsidR="000851C9" w:rsidRPr="00AE71E4" w:rsidRDefault="000851C9" w:rsidP="00BC2B05">
      <w:pPr>
        <w:spacing w:line="480" w:lineRule="auto"/>
        <w:rPr>
          <w:rFonts w:ascii="Times New Roman" w:hAnsi="Times New Roman" w:cs="Times New Roman"/>
          <w:sz w:val="24"/>
          <w:szCs w:val="24"/>
        </w:rPr>
      </w:pPr>
    </w:p>
    <w:p w14:paraId="45D64AB4" w14:textId="77777777" w:rsidR="000851C9" w:rsidRPr="00AE71E4" w:rsidRDefault="000851C9" w:rsidP="00BC2B05">
      <w:pPr>
        <w:spacing w:line="480" w:lineRule="auto"/>
        <w:rPr>
          <w:rFonts w:ascii="Times New Roman" w:hAnsi="Times New Roman" w:cs="Times New Roman"/>
          <w:sz w:val="24"/>
          <w:szCs w:val="24"/>
        </w:rPr>
      </w:pPr>
    </w:p>
    <w:sectPr w:rsidR="000851C9" w:rsidRPr="00AE71E4" w:rsidSect="00AB3A7E">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C90E" w14:textId="77777777" w:rsidR="001D62EC" w:rsidRDefault="001D62EC" w:rsidP="00764EAD">
      <w:pPr>
        <w:spacing w:after="0" w:line="240" w:lineRule="auto"/>
      </w:pPr>
      <w:r>
        <w:separator/>
      </w:r>
    </w:p>
  </w:endnote>
  <w:endnote w:type="continuationSeparator" w:id="0">
    <w:p w14:paraId="29236555" w14:textId="77777777" w:rsidR="001D62EC" w:rsidRDefault="001D62EC" w:rsidP="0076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023312"/>
      <w:docPartObj>
        <w:docPartGallery w:val="Page Numbers (Bottom of Page)"/>
        <w:docPartUnique/>
      </w:docPartObj>
    </w:sdtPr>
    <w:sdtEndPr>
      <w:rPr>
        <w:noProof/>
      </w:rPr>
    </w:sdtEndPr>
    <w:sdtContent>
      <w:p w14:paraId="16DAA8ED" w14:textId="51F163A7" w:rsidR="00AB3A7E" w:rsidRDefault="00AB3A7E">
        <w:pPr>
          <w:pStyle w:val="Footer"/>
          <w:jc w:val="center"/>
        </w:pPr>
        <w:r>
          <w:fldChar w:fldCharType="begin"/>
        </w:r>
        <w:r>
          <w:instrText xml:space="preserve"> PAGE   \* MERGEFORMAT </w:instrText>
        </w:r>
        <w:r>
          <w:fldChar w:fldCharType="separate"/>
        </w:r>
        <w:r w:rsidR="004F122E">
          <w:rPr>
            <w:noProof/>
          </w:rPr>
          <w:t>10</w:t>
        </w:r>
        <w:r>
          <w:rPr>
            <w:noProof/>
          </w:rPr>
          <w:fldChar w:fldCharType="end"/>
        </w:r>
      </w:p>
    </w:sdtContent>
  </w:sdt>
  <w:p w14:paraId="5FF28E59" w14:textId="77777777" w:rsidR="00AB3A7E" w:rsidRDefault="00AB3A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4237" w14:textId="77777777" w:rsidR="001D62EC" w:rsidRDefault="001D62EC" w:rsidP="00764EAD">
      <w:pPr>
        <w:spacing w:after="0" w:line="240" w:lineRule="auto"/>
      </w:pPr>
      <w:r>
        <w:separator/>
      </w:r>
    </w:p>
  </w:footnote>
  <w:footnote w:type="continuationSeparator" w:id="0">
    <w:p w14:paraId="3A5B374D" w14:textId="77777777" w:rsidR="001D62EC" w:rsidRDefault="001D62EC" w:rsidP="00764EAD">
      <w:pPr>
        <w:spacing w:after="0" w:line="240" w:lineRule="auto"/>
      </w:pPr>
      <w:r>
        <w:continuationSeparator/>
      </w:r>
    </w:p>
  </w:footnote>
  <w:footnote w:id="1">
    <w:p w14:paraId="1C8D5E00" w14:textId="52F08EDB" w:rsidR="001D62EC" w:rsidRPr="00606BB7" w:rsidRDefault="001D62EC">
      <w:pPr>
        <w:pStyle w:val="FootnoteText"/>
        <w:rPr>
          <w:rFonts w:ascii="Times New Roman" w:hAnsi="Times New Roman" w:cs="Times New Roman"/>
          <w:sz w:val="24"/>
          <w:szCs w:val="24"/>
        </w:rPr>
      </w:pPr>
      <w:r w:rsidRPr="00606BB7">
        <w:rPr>
          <w:rStyle w:val="FootnoteReference"/>
          <w:rFonts w:ascii="Times New Roman" w:hAnsi="Times New Roman" w:cs="Times New Roman"/>
          <w:sz w:val="24"/>
          <w:szCs w:val="24"/>
        </w:rPr>
        <w:footnoteRef/>
      </w:r>
      <w:r w:rsidRPr="00606BB7">
        <w:rPr>
          <w:rFonts w:ascii="Times New Roman" w:hAnsi="Times New Roman" w:cs="Times New Roman"/>
          <w:sz w:val="24"/>
          <w:szCs w:val="24"/>
        </w:rPr>
        <w:t xml:space="preserve"> </w:t>
      </w:r>
      <w:r w:rsidRPr="00606BB7">
        <w:rPr>
          <w:rFonts w:ascii="Times New Roman" w:hAnsi="Times New Roman" w:cs="Times New Roman"/>
          <w:sz w:val="24"/>
          <w:szCs w:val="24"/>
          <w:u w:val="single"/>
        </w:rPr>
        <w:t>See also</w:t>
      </w:r>
      <w:r w:rsidRPr="00606BB7">
        <w:rPr>
          <w:rFonts w:ascii="Times New Roman" w:hAnsi="Times New Roman" w:cs="Times New Roman"/>
          <w:sz w:val="24"/>
          <w:szCs w:val="24"/>
        </w:rPr>
        <w:t xml:space="preserve"> </w:t>
      </w:r>
      <w:r w:rsidRPr="00606BB7">
        <w:rPr>
          <w:rFonts w:ascii="Times New Roman" w:hAnsi="Times New Roman" w:cs="Times New Roman"/>
          <w:sz w:val="24"/>
          <w:szCs w:val="24"/>
          <w:u w:val="single"/>
        </w:rPr>
        <w:t>Holland v. Oliver</w:t>
      </w:r>
      <w:r w:rsidRPr="00606BB7">
        <w:rPr>
          <w:rFonts w:ascii="Times New Roman" w:hAnsi="Times New Roman" w:cs="Times New Roman"/>
          <w:sz w:val="24"/>
          <w:szCs w:val="24"/>
        </w:rPr>
        <w:t xml:space="preserve">, 350 F. Supp. 485, 487 (E.D. Va. 1972) (holding that </w:t>
      </w:r>
      <w:r w:rsidR="00606BB7" w:rsidRPr="00606BB7">
        <w:rPr>
          <w:rFonts w:ascii="Times New Roman" w:hAnsi="Times New Roman" w:cs="Times New Roman"/>
          <w:sz w:val="24"/>
          <w:szCs w:val="24"/>
        </w:rPr>
        <w:t>due process was violated by giving an inmate only one-hour notice of the basis for his rule violation; among the due process protections for inmates in such hearings, the “hearing must be preceded by notice in writing of the substance of the factual charge of misconduct.”</w:t>
      </w:r>
      <w:r w:rsidRPr="00606BB7">
        <w:rPr>
          <w:rFonts w:ascii="Times New Roman" w:hAnsi="Times New Roman" w:cs="Times New Roman"/>
          <w:sz w:val="24"/>
          <w:szCs w:val="24"/>
        </w:rPr>
        <w:t>).</w:t>
      </w:r>
      <w:r w:rsidRPr="00606BB7">
        <w:rPr>
          <w:rFonts w:ascii="Times New Roman" w:hAnsi="Times New Roman" w:cs="Times New Roman"/>
          <w:b/>
          <w:sz w:val="24"/>
          <w:szCs w:val="24"/>
        </w:rPr>
        <w:t xml:space="preserve"> </w:t>
      </w:r>
    </w:p>
  </w:footnote>
  <w:footnote w:id="2">
    <w:p w14:paraId="35703253" w14:textId="25A3A27F" w:rsidR="00884DC5" w:rsidRPr="00606BB7" w:rsidRDefault="00884DC5">
      <w:pPr>
        <w:pStyle w:val="FootnoteText"/>
        <w:rPr>
          <w:rFonts w:ascii="Times New Roman" w:hAnsi="Times New Roman" w:cs="Times New Roman"/>
          <w:sz w:val="24"/>
          <w:szCs w:val="24"/>
        </w:rPr>
      </w:pPr>
      <w:r w:rsidRPr="00606BB7">
        <w:rPr>
          <w:rStyle w:val="FootnoteReference"/>
          <w:rFonts w:ascii="Times New Roman" w:hAnsi="Times New Roman" w:cs="Times New Roman"/>
          <w:sz w:val="24"/>
          <w:szCs w:val="24"/>
        </w:rPr>
        <w:footnoteRef/>
      </w:r>
      <w:r w:rsidRPr="00606BB7">
        <w:rPr>
          <w:rFonts w:ascii="Times New Roman" w:hAnsi="Times New Roman" w:cs="Times New Roman"/>
          <w:sz w:val="24"/>
          <w:szCs w:val="24"/>
        </w:rPr>
        <w:t xml:space="preserve"> </w:t>
      </w:r>
      <w:r w:rsidR="00CB34F4" w:rsidRPr="00606BB7">
        <w:rPr>
          <w:rFonts w:ascii="Times New Roman" w:hAnsi="Times New Roman" w:cs="Times New Roman"/>
          <w:sz w:val="24"/>
          <w:szCs w:val="24"/>
        </w:rPr>
        <w:t xml:space="preserve">“Other allegations concerned a drug arrest, failure to post various licenses and a board of health certificate, and failure to provide a receipt for a cover charge.” </w:t>
      </w:r>
      <w:r w:rsidR="00CB34F4" w:rsidRPr="00606BB7">
        <w:rPr>
          <w:rFonts w:ascii="Times New Roman" w:hAnsi="Times New Roman" w:cs="Times New Roman"/>
          <w:sz w:val="24"/>
          <w:szCs w:val="24"/>
          <w:u w:val="single"/>
        </w:rPr>
        <w:t>Highland Tap of Boston, Inc.</w:t>
      </w:r>
      <w:r w:rsidR="00CB34F4" w:rsidRPr="00606BB7">
        <w:rPr>
          <w:rFonts w:ascii="Times New Roman" w:hAnsi="Times New Roman" w:cs="Times New Roman"/>
          <w:sz w:val="24"/>
          <w:szCs w:val="24"/>
        </w:rPr>
        <w:t xml:space="preserve">, 33 Mass. App. Ct. at 570.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63626"/>
    <w:multiLevelType w:val="hybridMultilevel"/>
    <w:tmpl w:val="42DA3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2268A"/>
    <w:multiLevelType w:val="hybridMultilevel"/>
    <w:tmpl w:val="55DC6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5149C"/>
    <w:multiLevelType w:val="hybridMultilevel"/>
    <w:tmpl w:val="1F789940"/>
    <w:lvl w:ilvl="0" w:tplc="3FF284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572AB"/>
    <w:multiLevelType w:val="hybridMultilevel"/>
    <w:tmpl w:val="EA289004"/>
    <w:lvl w:ilvl="0" w:tplc="6DF268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09"/>
    <w:rsid w:val="0000265B"/>
    <w:rsid w:val="00003E62"/>
    <w:rsid w:val="00004059"/>
    <w:rsid w:val="00016D79"/>
    <w:rsid w:val="0002022C"/>
    <w:rsid w:val="000230AD"/>
    <w:rsid w:val="00045FC2"/>
    <w:rsid w:val="00046341"/>
    <w:rsid w:val="00052355"/>
    <w:rsid w:val="00063189"/>
    <w:rsid w:val="000637A3"/>
    <w:rsid w:val="000674F2"/>
    <w:rsid w:val="00070A87"/>
    <w:rsid w:val="000851C9"/>
    <w:rsid w:val="00094EC3"/>
    <w:rsid w:val="00096502"/>
    <w:rsid w:val="00097200"/>
    <w:rsid w:val="000B3FBE"/>
    <w:rsid w:val="000C017C"/>
    <w:rsid w:val="000C4B82"/>
    <w:rsid w:val="000D176E"/>
    <w:rsid w:val="000D37D2"/>
    <w:rsid w:val="000D5609"/>
    <w:rsid w:val="000D6B46"/>
    <w:rsid w:val="000E2B94"/>
    <w:rsid w:val="000E4C6B"/>
    <w:rsid w:val="000E788F"/>
    <w:rsid w:val="000F304D"/>
    <w:rsid w:val="000F48E8"/>
    <w:rsid w:val="001048A1"/>
    <w:rsid w:val="00106086"/>
    <w:rsid w:val="00113D3C"/>
    <w:rsid w:val="00116CF7"/>
    <w:rsid w:val="00120B41"/>
    <w:rsid w:val="00126733"/>
    <w:rsid w:val="0014135C"/>
    <w:rsid w:val="001452B7"/>
    <w:rsid w:val="00145760"/>
    <w:rsid w:val="00145B06"/>
    <w:rsid w:val="0015624D"/>
    <w:rsid w:val="00167130"/>
    <w:rsid w:val="00170A3F"/>
    <w:rsid w:val="00183CE5"/>
    <w:rsid w:val="00184D17"/>
    <w:rsid w:val="00191879"/>
    <w:rsid w:val="00193FC4"/>
    <w:rsid w:val="001A5D5F"/>
    <w:rsid w:val="001B264C"/>
    <w:rsid w:val="001B4843"/>
    <w:rsid w:val="001B725B"/>
    <w:rsid w:val="001B7397"/>
    <w:rsid w:val="001C7592"/>
    <w:rsid w:val="001D3EE3"/>
    <w:rsid w:val="001D563A"/>
    <w:rsid w:val="001D62EC"/>
    <w:rsid w:val="001D736E"/>
    <w:rsid w:val="001E0C1C"/>
    <w:rsid w:val="001E6348"/>
    <w:rsid w:val="00201C29"/>
    <w:rsid w:val="00230427"/>
    <w:rsid w:val="002305AA"/>
    <w:rsid w:val="00233AB2"/>
    <w:rsid w:val="002412AE"/>
    <w:rsid w:val="00243A9B"/>
    <w:rsid w:val="00256AEB"/>
    <w:rsid w:val="00257928"/>
    <w:rsid w:val="00261F35"/>
    <w:rsid w:val="00267561"/>
    <w:rsid w:val="00267918"/>
    <w:rsid w:val="00270AF6"/>
    <w:rsid w:val="00272B3F"/>
    <w:rsid w:val="002751E2"/>
    <w:rsid w:val="00290486"/>
    <w:rsid w:val="00291A2E"/>
    <w:rsid w:val="002A509A"/>
    <w:rsid w:val="002B2DB5"/>
    <w:rsid w:val="002D3720"/>
    <w:rsid w:val="002D5572"/>
    <w:rsid w:val="002D704C"/>
    <w:rsid w:val="002E5F16"/>
    <w:rsid w:val="002F5BC4"/>
    <w:rsid w:val="002F5FD1"/>
    <w:rsid w:val="002F65E4"/>
    <w:rsid w:val="003000F0"/>
    <w:rsid w:val="00300E0B"/>
    <w:rsid w:val="00306304"/>
    <w:rsid w:val="003179BF"/>
    <w:rsid w:val="00321B83"/>
    <w:rsid w:val="00324515"/>
    <w:rsid w:val="00325A8B"/>
    <w:rsid w:val="00336578"/>
    <w:rsid w:val="0035187D"/>
    <w:rsid w:val="00362534"/>
    <w:rsid w:val="00366F8E"/>
    <w:rsid w:val="003710F5"/>
    <w:rsid w:val="00371C27"/>
    <w:rsid w:val="00373C77"/>
    <w:rsid w:val="003835B6"/>
    <w:rsid w:val="003870B9"/>
    <w:rsid w:val="00390611"/>
    <w:rsid w:val="00397FDB"/>
    <w:rsid w:val="003B6EC5"/>
    <w:rsid w:val="003C52E0"/>
    <w:rsid w:val="003D4A22"/>
    <w:rsid w:val="003E1344"/>
    <w:rsid w:val="003E304A"/>
    <w:rsid w:val="003E448B"/>
    <w:rsid w:val="003F11B8"/>
    <w:rsid w:val="003F5D5C"/>
    <w:rsid w:val="00407C67"/>
    <w:rsid w:val="00410058"/>
    <w:rsid w:val="004132D2"/>
    <w:rsid w:val="00414BD0"/>
    <w:rsid w:val="004309C4"/>
    <w:rsid w:val="00434CCF"/>
    <w:rsid w:val="00441682"/>
    <w:rsid w:val="00453B36"/>
    <w:rsid w:val="00464FD7"/>
    <w:rsid w:val="0046611E"/>
    <w:rsid w:val="00466F81"/>
    <w:rsid w:val="0047141D"/>
    <w:rsid w:val="00471E15"/>
    <w:rsid w:val="00473B3C"/>
    <w:rsid w:val="004824F3"/>
    <w:rsid w:val="00490AF2"/>
    <w:rsid w:val="0049510A"/>
    <w:rsid w:val="004A1D1E"/>
    <w:rsid w:val="004A2327"/>
    <w:rsid w:val="004A6772"/>
    <w:rsid w:val="004B73C8"/>
    <w:rsid w:val="004C5334"/>
    <w:rsid w:val="004C5430"/>
    <w:rsid w:val="004D127E"/>
    <w:rsid w:val="004D47BE"/>
    <w:rsid w:val="004E74FA"/>
    <w:rsid w:val="004F122E"/>
    <w:rsid w:val="004F1ABA"/>
    <w:rsid w:val="004F238A"/>
    <w:rsid w:val="004F37F3"/>
    <w:rsid w:val="00510C28"/>
    <w:rsid w:val="005272E1"/>
    <w:rsid w:val="00531CBA"/>
    <w:rsid w:val="00533870"/>
    <w:rsid w:val="00544566"/>
    <w:rsid w:val="00545379"/>
    <w:rsid w:val="00545D2D"/>
    <w:rsid w:val="00551365"/>
    <w:rsid w:val="00554EC4"/>
    <w:rsid w:val="00565954"/>
    <w:rsid w:val="00573C3A"/>
    <w:rsid w:val="005866CD"/>
    <w:rsid w:val="005871D2"/>
    <w:rsid w:val="005938EA"/>
    <w:rsid w:val="00593C8E"/>
    <w:rsid w:val="005A00BD"/>
    <w:rsid w:val="005A096D"/>
    <w:rsid w:val="005B1AFF"/>
    <w:rsid w:val="005B3334"/>
    <w:rsid w:val="005B3ED5"/>
    <w:rsid w:val="005B5E3B"/>
    <w:rsid w:val="005C00D5"/>
    <w:rsid w:val="005D17A1"/>
    <w:rsid w:val="005D228E"/>
    <w:rsid w:val="005D2982"/>
    <w:rsid w:val="005D3B1D"/>
    <w:rsid w:val="005D4B95"/>
    <w:rsid w:val="005E31AC"/>
    <w:rsid w:val="005E6E75"/>
    <w:rsid w:val="005F4EBE"/>
    <w:rsid w:val="005F597A"/>
    <w:rsid w:val="006048F1"/>
    <w:rsid w:val="00606BB7"/>
    <w:rsid w:val="00607A4E"/>
    <w:rsid w:val="00610861"/>
    <w:rsid w:val="0062201E"/>
    <w:rsid w:val="00634ACD"/>
    <w:rsid w:val="006416E0"/>
    <w:rsid w:val="00645AB7"/>
    <w:rsid w:val="00645FD0"/>
    <w:rsid w:val="00654158"/>
    <w:rsid w:val="00654ABB"/>
    <w:rsid w:val="0066045A"/>
    <w:rsid w:val="00667AB8"/>
    <w:rsid w:val="00670A85"/>
    <w:rsid w:val="0068000E"/>
    <w:rsid w:val="00686214"/>
    <w:rsid w:val="006878D6"/>
    <w:rsid w:val="00693CE8"/>
    <w:rsid w:val="006A439A"/>
    <w:rsid w:val="006B15C7"/>
    <w:rsid w:val="006B38A2"/>
    <w:rsid w:val="006B4607"/>
    <w:rsid w:val="006C25BF"/>
    <w:rsid w:val="006C6CDD"/>
    <w:rsid w:val="006D2ADE"/>
    <w:rsid w:val="006D2EA6"/>
    <w:rsid w:val="006D3D89"/>
    <w:rsid w:val="006D51EC"/>
    <w:rsid w:val="006E049B"/>
    <w:rsid w:val="006E13DC"/>
    <w:rsid w:val="006F1038"/>
    <w:rsid w:val="006F1201"/>
    <w:rsid w:val="006F53EE"/>
    <w:rsid w:val="00711FFE"/>
    <w:rsid w:val="0071232D"/>
    <w:rsid w:val="0071654F"/>
    <w:rsid w:val="007205AC"/>
    <w:rsid w:val="007256D0"/>
    <w:rsid w:val="00725C5C"/>
    <w:rsid w:val="00740BCE"/>
    <w:rsid w:val="0074418E"/>
    <w:rsid w:val="00745926"/>
    <w:rsid w:val="0075535E"/>
    <w:rsid w:val="00764EAD"/>
    <w:rsid w:val="00765AF0"/>
    <w:rsid w:val="0076707F"/>
    <w:rsid w:val="00771E12"/>
    <w:rsid w:val="00783B22"/>
    <w:rsid w:val="00791CCD"/>
    <w:rsid w:val="007B71FB"/>
    <w:rsid w:val="007C734E"/>
    <w:rsid w:val="007F523D"/>
    <w:rsid w:val="007F584F"/>
    <w:rsid w:val="007F6C5C"/>
    <w:rsid w:val="00807C5D"/>
    <w:rsid w:val="00813FB7"/>
    <w:rsid w:val="008341C2"/>
    <w:rsid w:val="00842220"/>
    <w:rsid w:val="00843FC9"/>
    <w:rsid w:val="0084564F"/>
    <w:rsid w:val="00850EE7"/>
    <w:rsid w:val="00852C24"/>
    <w:rsid w:val="008553D5"/>
    <w:rsid w:val="008605E3"/>
    <w:rsid w:val="00864B95"/>
    <w:rsid w:val="0087202E"/>
    <w:rsid w:val="00872C16"/>
    <w:rsid w:val="00877F39"/>
    <w:rsid w:val="00884DC5"/>
    <w:rsid w:val="00885002"/>
    <w:rsid w:val="00886EE1"/>
    <w:rsid w:val="0089169E"/>
    <w:rsid w:val="00891F45"/>
    <w:rsid w:val="008A4328"/>
    <w:rsid w:val="008A6179"/>
    <w:rsid w:val="008B61D6"/>
    <w:rsid w:val="008C4AE6"/>
    <w:rsid w:val="008D1038"/>
    <w:rsid w:val="008D5ED3"/>
    <w:rsid w:val="008E4850"/>
    <w:rsid w:val="008E4CCB"/>
    <w:rsid w:val="008E52AD"/>
    <w:rsid w:val="008E59DC"/>
    <w:rsid w:val="008F4E86"/>
    <w:rsid w:val="008F703B"/>
    <w:rsid w:val="0090598E"/>
    <w:rsid w:val="00911E02"/>
    <w:rsid w:val="00912348"/>
    <w:rsid w:val="00922A8D"/>
    <w:rsid w:val="00931C10"/>
    <w:rsid w:val="00933B83"/>
    <w:rsid w:val="00937231"/>
    <w:rsid w:val="00937AB5"/>
    <w:rsid w:val="00943799"/>
    <w:rsid w:val="00944843"/>
    <w:rsid w:val="00952931"/>
    <w:rsid w:val="009534E1"/>
    <w:rsid w:val="00954BAB"/>
    <w:rsid w:val="00955885"/>
    <w:rsid w:val="00966C8A"/>
    <w:rsid w:val="00972462"/>
    <w:rsid w:val="00994DE8"/>
    <w:rsid w:val="009A05A6"/>
    <w:rsid w:val="009B0411"/>
    <w:rsid w:val="009C1DCD"/>
    <w:rsid w:val="009C57DA"/>
    <w:rsid w:val="009E3E0D"/>
    <w:rsid w:val="009F0662"/>
    <w:rsid w:val="009F24C4"/>
    <w:rsid w:val="009F2C47"/>
    <w:rsid w:val="009F5941"/>
    <w:rsid w:val="00A059DD"/>
    <w:rsid w:val="00A0778B"/>
    <w:rsid w:val="00A11560"/>
    <w:rsid w:val="00A11AAC"/>
    <w:rsid w:val="00A222A6"/>
    <w:rsid w:val="00A22588"/>
    <w:rsid w:val="00A2532A"/>
    <w:rsid w:val="00A2575C"/>
    <w:rsid w:val="00A2651E"/>
    <w:rsid w:val="00A3256F"/>
    <w:rsid w:val="00A33DF3"/>
    <w:rsid w:val="00A455EC"/>
    <w:rsid w:val="00A50AB6"/>
    <w:rsid w:val="00A55AEC"/>
    <w:rsid w:val="00A6384B"/>
    <w:rsid w:val="00A64107"/>
    <w:rsid w:val="00A65E2E"/>
    <w:rsid w:val="00A75A7F"/>
    <w:rsid w:val="00A76402"/>
    <w:rsid w:val="00A808D3"/>
    <w:rsid w:val="00A84CB1"/>
    <w:rsid w:val="00A8620D"/>
    <w:rsid w:val="00A94B76"/>
    <w:rsid w:val="00AA17DF"/>
    <w:rsid w:val="00AA4812"/>
    <w:rsid w:val="00AB2313"/>
    <w:rsid w:val="00AB3A7E"/>
    <w:rsid w:val="00AB3C98"/>
    <w:rsid w:val="00AB4640"/>
    <w:rsid w:val="00AC5B34"/>
    <w:rsid w:val="00AD065E"/>
    <w:rsid w:val="00AD143B"/>
    <w:rsid w:val="00AD1EEA"/>
    <w:rsid w:val="00AE5298"/>
    <w:rsid w:val="00AE71E4"/>
    <w:rsid w:val="00AE78BE"/>
    <w:rsid w:val="00AF1E29"/>
    <w:rsid w:val="00AF4EB9"/>
    <w:rsid w:val="00AF5997"/>
    <w:rsid w:val="00B10F3A"/>
    <w:rsid w:val="00B20DA2"/>
    <w:rsid w:val="00B26290"/>
    <w:rsid w:val="00B2740F"/>
    <w:rsid w:val="00B27492"/>
    <w:rsid w:val="00B30D38"/>
    <w:rsid w:val="00B43BD3"/>
    <w:rsid w:val="00B53CAE"/>
    <w:rsid w:val="00B5756F"/>
    <w:rsid w:val="00B577A4"/>
    <w:rsid w:val="00B648F7"/>
    <w:rsid w:val="00B700BE"/>
    <w:rsid w:val="00B83077"/>
    <w:rsid w:val="00B84D3F"/>
    <w:rsid w:val="00B84F53"/>
    <w:rsid w:val="00B90436"/>
    <w:rsid w:val="00BA0EC1"/>
    <w:rsid w:val="00BB6521"/>
    <w:rsid w:val="00BC1BE5"/>
    <w:rsid w:val="00BC2B05"/>
    <w:rsid w:val="00BC77A1"/>
    <w:rsid w:val="00BD03F0"/>
    <w:rsid w:val="00BD7892"/>
    <w:rsid w:val="00BE363F"/>
    <w:rsid w:val="00BF1C44"/>
    <w:rsid w:val="00C0031D"/>
    <w:rsid w:val="00C125C8"/>
    <w:rsid w:val="00C21B7D"/>
    <w:rsid w:val="00C21BEB"/>
    <w:rsid w:val="00C24670"/>
    <w:rsid w:val="00C31270"/>
    <w:rsid w:val="00C35AF8"/>
    <w:rsid w:val="00C43C4A"/>
    <w:rsid w:val="00C53715"/>
    <w:rsid w:val="00C63EAC"/>
    <w:rsid w:val="00C757A0"/>
    <w:rsid w:val="00C87978"/>
    <w:rsid w:val="00C87EF1"/>
    <w:rsid w:val="00C930DF"/>
    <w:rsid w:val="00CA2CB3"/>
    <w:rsid w:val="00CB34F4"/>
    <w:rsid w:val="00CB633C"/>
    <w:rsid w:val="00CC0539"/>
    <w:rsid w:val="00CC63CD"/>
    <w:rsid w:val="00CE208C"/>
    <w:rsid w:val="00CE29CB"/>
    <w:rsid w:val="00D0313B"/>
    <w:rsid w:val="00D074E9"/>
    <w:rsid w:val="00D11DE3"/>
    <w:rsid w:val="00D1464E"/>
    <w:rsid w:val="00D3138C"/>
    <w:rsid w:val="00D37933"/>
    <w:rsid w:val="00D42C64"/>
    <w:rsid w:val="00D44544"/>
    <w:rsid w:val="00D5318E"/>
    <w:rsid w:val="00D55A08"/>
    <w:rsid w:val="00D754A7"/>
    <w:rsid w:val="00D83ADD"/>
    <w:rsid w:val="00DA0F0C"/>
    <w:rsid w:val="00DA1A81"/>
    <w:rsid w:val="00DB0CC3"/>
    <w:rsid w:val="00DC493C"/>
    <w:rsid w:val="00DD0F9C"/>
    <w:rsid w:val="00DD5401"/>
    <w:rsid w:val="00DD72E3"/>
    <w:rsid w:val="00DD7AEE"/>
    <w:rsid w:val="00DF359B"/>
    <w:rsid w:val="00E01B55"/>
    <w:rsid w:val="00E06E3D"/>
    <w:rsid w:val="00E12466"/>
    <w:rsid w:val="00E13072"/>
    <w:rsid w:val="00E14CF8"/>
    <w:rsid w:val="00E20BC6"/>
    <w:rsid w:val="00E2334C"/>
    <w:rsid w:val="00E25E4A"/>
    <w:rsid w:val="00E266ED"/>
    <w:rsid w:val="00E34A06"/>
    <w:rsid w:val="00E52BAE"/>
    <w:rsid w:val="00E536B7"/>
    <w:rsid w:val="00E63184"/>
    <w:rsid w:val="00E700CD"/>
    <w:rsid w:val="00E80075"/>
    <w:rsid w:val="00E8518D"/>
    <w:rsid w:val="00E85274"/>
    <w:rsid w:val="00E95319"/>
    <w:rsid w:val="00E972C1"/>
    <w:rsid w:val="00EA0C54"/>
    <w:rsid w:val="00EB01F7"/>
    <w:rsid w:val="00EB3765"/>
    <w:rsid w:val="00EC0282"/>
    <w:rsid w:val="00ED053E"/>
    <w:rsid w:val="00ED0DAA"/>
    <w:rsid w:val="00ED3E8E"/>
    <w:rsid w:val="00EE061B"/>
    <w:rsid w:val="00EE23AE"/>
    <w:rsid w:val="00EE69E0"/>
    <w:rsid w:val="00EF1FC0"/>
    <w:rsid w:val="00EF488E"/>
    <w:rsid w:val="00F03F3A"/>
    <w:rsid w:val="00F101F5"/>
    <w:rsid w:val="00F11029"/>
    <w:rsid w:val="00F1524C"/>
    <w:rsid w:val="00F16DE4"/>
    <w:rsid w:val="00F27578"/>
    <w:rsid w:val="00F34C92"/>
    <w:rsid w:val="00F35F2F"/>
    <w:rsid w:val="00F422BB"/>
    <w:rsid w:val="00F47A21"/>
    <w:rsid w:val="00F60B00"/>
    <w:rsid w:val="00F62EAE"/>
    <w:rsid w:val="00F71B03"/>
    <w:rsid w:val="00F85328"/>
    <w:rsid w:val="00F86ED6"/>
    <w:rsid w:val="00FA60D0"/>
    <w:rsid w:val="00FA7D06"/>
    <w:rsid w:val="00FB3FC0"/>
    <w:rsid w:val="00FB508B"/>
    <w:rsid w:val="00FC4681"/>
    <w:rsid w:val="00FC7041"/>
    <w:rsid w:val="00FD1A78"/>
    <w:rsid w:val="00FD655D"/>
    <w:rsid w:val="00FF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58F2"/>
  <w15:docId w15:val="{47DF8739-B571-42B5-A831-EC5AC8DD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54B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A8D"/>
    <w:pPr>
      <w:ind w:left="720"/>
      <w:contextualSpacing/>
    </w:pPr>
  </w:style>
  <w:style w:type="paragraph" w:styleId="FootnoteText">
    <w:name w:val="footnote text"/>
    <w:basedOn w:val="Normal"/>
    <w:link w:val="FootnoteTextChar"/>
    <w:uiPriority w:val="99"/>
    <w:semiHidden/>
    <w:unhideWhenUsed/>
    <w:rsid w:val="00764E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4EAD"/>
    <w:rPr>
      <w:sz w:val="20"/>
      <w:szCs w:val="20"/>
    </w:rPr>
  </w:style>
  <w:style w:type="character" w:styleId="FootnoteReference">
    <w:name w:val="footnote reference"/>
    <w:basedOn w:val="DefaultParagraphFont"/>
    <w:uiPriority w:val="99"/>
    <w:semiHidden/>
    <w:unhideWhenUsed/>
    <w:rsid w:val="00764EAD"/>
    <w:rPr>
      <w:vertAlign w:val="superscript"/>
    </w:rPr>
  </w:style>
  <w:style w:type="paragraph" w:customStyle="1" w:styleId="Normal1">
    <w:name w:val="Normal1"/>
    <w:rsid w:val="003F11B8"/>
    <w:pPr>
      <w:spacing w:after="0" w:line="240" w:lineRule="auto"/>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AB3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A7E"/>
  </w:style>
  <w:style w:type="paragraph" w:styleId="Footer">
    <w:name w:val="footer"/>
    <w:basedOn w:val="Normal"/>
    <w:link w:val="FooterChar"/>
    <w:uiPriority w:val="99"/>
    <w:unhideWhenUsed/>
    <w:rsid w:val="00AB3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A7E"/>
  </w:style>
  <w:style w:type="character" w:styleId="Hyperlink">
    <w:name w:val="Hyperlink"/>
    <w:basedOn w:val="DefaultParagraphFont"/>
    <w:uiPriority w:val="99"/>
    <w:semiHidden/>
    <w:unhideWhenUsed/>
    <w:rsid w:val="004D47BE"/>
    <w:rPr>
      <w:color w:val="0000FF"/>
      <w:u w:val="single"/>
    </w:rPr>
  </w:style>
  <w:style w:type="character" w:styleId="Emphasis">
    <w:name w:val="Emphasis"/>
    <w:basedOn w:val="DefaultParagraphFont"/>
    <w:uiPriority w:val="20"/>
    <w:qFormat/>
    <w:rsid w:val="004D47BE"/>
    <w:rPr>
      <w:i/>
      <w:iCs/>
    </w:rPr>
  </w:style>
  <w:style w:type="character" w:customStyle="1" w:styleId="Heading3Char">
    <w:name w:val="Heading 3 Char"/>
    <w:basedOn w:val="DefaultParagraphFont"/>
    <w:link w:val="Heading3"/>
    <w:uiPriority w:val="9"/>
    <w:rsid w:val="00954BAB"/>
    <w:rPr>
      <w:rFonts w:ascii="Times New Roman" w:eastAsia="Times New Roman" w:hAnsi="Times New Roman" w:cs="Times New Roman"/>
      <w:b/>
      <w:bCs/>
      <w:sz w:val="27"/>
      <w:szCs w:val="27"/>
    </w:rPr>
  </w:style>
  <w:style w:type="character" w:customStyle="1" w:styleId="costarpage">
    <w:name w:val="co_starpage"/>
    <w:basedOn w:val="DefaultParagraphFont"/>
    <w:rsid w:val="00937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4857">
      <w:bodyDiv w:val="1"/>
      <w:marLeft w:val="0"/>
      <w:marRight w:val="0"/>
      <w:marTop w:val="0"/>
      <w:marBottom w:val="0"/>
      <w:divBdr>
        <w:top w:val="none" w:sz="0" w:space="0" w:color="auto"/>
        <w:left w:val="none" w:sz="0" w:space="0" w:color="auto"/>
        <w:bottom w:val="none" w:sz="0" w:space="0" w:color="auto"/>
        <w:right w:val="none" w:sz="0" w:space="0" w:color="auto"/>
      </w:divBdr>
    </w:div>
    <w:div w:id="86123722">
      <w:bodyDiv w:val="1"/>
      <w:marLeft w:val="0"/>
      <w:marRight w:val="0"/>
      <w:marTop w:val="0"/>
      <w:marBottom w:val="0"/>
      <w:divBdr>
        <w:top w:val="none" w:sz="0" w:space="0" w:color="auto"/>
        <w:left w:val="none" w:sz="0" w:space="0" w:color="auto"/>
        <w:bottom w:val="none" w:sz="0" w:space="0" w:color="auto"/>
        <w:right w:val="none" w:sz="0" w:space="0" w:color="auto"/>
      </w:divBdr>
    </w:div>
    <w:div w:id="277491376">
      <w:bodyDiv w:val="1"/>
      <w:marLeft w:val="0"/>
      <w:marRight w:val="0"/>
      <w:marTop w:val="0"/>
      <w:marBottom w:val="0"/>
      <w:divBdr>
        <w:top w:val="none" w:sz="0" w:space="0" w:color="auto"/>
        <w:left w:val="none" w:sz="0" w:space="0" w:color="auto"/>
        <w:bottom w:val="none" w:sz="0" w:space="0" w:color="auto"/>
        <w:right w:val="none" w:sz="0" w:space="0" w:color="auto"/>
      </w:divBdr>
    </w:div>
    <w:div w:id="393742914">
      <w:bodyDiv w:val="1"/>
      <w:marLeft w:val="0"/>
      <w:marRight w:val="0"/>
      <w:marTop w:val="0"/>
      <w:marBottom w:val="0"/>
      <w:divBdr>
        <w:top w:val="none" w:sz="0" w:space="0" w:color="auto"/>
        <w:left w:val="none" w:sz="0" w:space="0" w:color="auto"/>
        <w:bottom w:val="none" w:sz="0" w:space="0" w:color="auto"/>
        <w:right w:val="none" w:sz="0" w:space="0" w:color="auto"/>
      </w:divBdr>
    </w:div>
    <w:div w:id="423765891">
      <w:bodyDiv w:val="1"/>
      <w:marLeft w:val="0"/>
      <w:marRight w:val="0"/>
      <w:marTop w:val="0"/>
      <w:marBottom w:val="0"/>
      <w:divBdr>
        <w:top w:val="none" w:sz="0" w:space="0" w:color="auto"/>
        <w:left w:val="none" w:sz="0" w:space="0" w:color="auto"/>
        <w:bottom w:val="none" w:sz="0" w:space="0" w:color="auto"/>
        <w:right w:val="none" w:sz="0" w:space="0" w:color="auto"/>
      </w:divBdr>
    </w:div>
    <w:div w:id="566767866">
      <w:bodyDiv w:val="1"/>
      <w:marLeft w:val="0"/>
      <w:marRight w:val="0"/>
      <w:marTop w:val="0"/>
      <w:marBottom w:val="0"/>
      <w:divBdr>
        <w:top w:val="none" w:sz="0" w:space="0" w:color="auto"/>
        <w:left w:val="none" w:sz="0" w:space="0" w:color="auto"/>
        <w:bottom w:val="none" w:sz="0" w:space="0" w:color="auto"/>
        <w:right w:val="none" w:sz="0" w:space="0" w:color="auto"/>
      </w:divBdr>
    </w:div>
    <w:div w:id="900092895">
      <w:bodyDiv w:val="1"/>
      <w:marLeft w:val="0"/>
      <w:marRight w:val="0"/>
      <w:marTop w:val="0"/>
      <w:marBottom w:val="0"/>
      <w:divBdr>
        <w:top w:val="none" w:sz="0" w:space="0" w:color="auto"/>
        <w:left w:val="none" w:sz="0" w:space="0" w:color="auto"/>
        <w:bottom w:val="none" w:sz="0" w:space="0" w:color="auto"/>
        <w:right w:val="none" w:sz="0" w:space="0" w:color="auto"/>
      </w:divBdr>
    </w:div>
    <w:div w:id="930506737">
      <w:bodyDiv w:val="1"/>
      <w:marLeft w:val="0"/>
      <w:marRight w:val="0"/>
      <w:marTop w:val="0"/>
      <w:marBottom w:val="0"/>
      <w:divBdr>
        <w:top w:val="none" w:sz="0" w:space="0" w:color="auto"/>
        <w:left w:val="none" w:sz="0" w:space="0" w:color="auto"/>
        <w:bottom w:val="none" w:sz="0" w:space="0" w:color="auto"/>
        <w:right w:val="none" w:sz="0" w:space="0" w:color="auto"/>
      </w:divBdr>
    </w:div>
    <w:div w:id="1261137988">
      <w:bodyDiv w:val="1"/>
      <w:marLeft w:val="0"/>
      <w:marRight w:val="0"/>
      <w:marTop w:val="0"/>
      <w:marBottom w:val="0"/>
      <w:divBdr>
        <w:top w:val="none" w:sz="0" w:space="0" w:color="auto"/>
        <w:left w:val="none" w:sz="0" w:space="0" w:color="auto"/>
        <w:bottom w:val="none" w:sz="0" w:space="0" w:color="auto"/>
        <w:right w:val="none" w:sz="0" w:space="0" w:color="auto"/>
      </w:divBdr>
    </w:div>
    <w:div w:id="1380939038">
      <w:bodyDiv w:val="1"/>
      <w:marLeft w:val="0"/>
      <w:marRight w:val="0"/>
      <w:marTop w:val="0"/>
      <w:marBottom w:val="0"/>
      <w:divBdr>
        <w:top w:val="none" w:sz="0" w:space="0" w:color="auto"/>
        <w:left w:val="none" w:sz="0" w:space="0" w:color="auto"/>
        <w:bottom w:val="none" w:sz="0" w:space="0" w:color="auto"/>
        <w:right w:val="none" w:sz="0" w:space="0" w:color="auto"/>
      </w:divBdr>
    </w:div>
    <w:div w:id="1598367280">
      <w:bodyDiv w:val="1"/>
      <w:marLeft w:val="0"/>
      <w:marRight w:val="0"/>
      <w:marTop w:val="0"/>
      <w:marBottom w:val="0"/>
      <w:divBdr>
        <w:top w:val="none" w:sz="0" w:space="0" w:color="auto"/>
        <w:left w:val="none" w:sz="0" w:space="0" w:color="auto"/>
        <w:bottom w:val="none" w:sz="0" w:space="0" w:color="auto"/>
        <w:right w:val="none" w:sz="0" w:space="0" w:color="auto"/>
      </w:divBdr>
    </w:div>
    <w:div w:id="1805537617">
      <w:bodyDiv w:val="1"/>
      <w:marLeft w:val="0"/>
      <w:marRight w:val="0"/>
      <w:marTop w:val="0"/>
      <w:marBottom w:val="0"/>
      <w:divBdr>
        <w:top w:val="none" w:sz="0" w:space="0" w:color="auto"/>
        <w:left w:val="none" w:sz="0" w:space="0" w:color="auto"/>
        <w:bottom w:val="none" w:sz="0" w:space="0" w:color="auto"/>
        <w:right w:val="none" w:sz="0" w:space="0" w:color="auto"/>
      </w:divBdr>
    </w:div>
    <w:div w:id="1899709007">
      <w:bodyDiv w:val="1"/>
      <w:marLeft w:val="0"/>
      <w:marRight w:val="0"/>
      <w:marTop w:val="0"/>
      <w:marBottom w:val="0"/>
      <w:divBdr>
        <w:top w:val="none" w:sz="0" w:space="0" w:color="auto"/>
        <w:left w:val="none" w:sz="0" w:space="0" w:color="auto"/>
        <w:bottom w:val="none" w:sz="0" w:space="0" w:color="auto"/>
        <w:right w:val="none" w:sz="0" w:space="0" w:color="auto"/>
      </w:divBdr>
    </w:div>
    <w:div w:id="21265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Edmonds</dc:creator>
  <cp:lastModifiedBy>Sarah LoPresti</cp:lastModifiedBy>
  <cp:revision>5</cp:revision>
  <dcterms:created xsi:type="dcterms:W3CDTF">2018-12-10T17:35:00Z</dcterms:created>
  <dcterms:modified xsi:type="dcterms:W3CDTF">2020-12-23T14:17:00Z</dcterms:modified>
</cp:coreProperties>
</file>