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0C70D" w14:textId="77777777" w:rsidR="00D43949" w:rsidRPr="00B7739A" w:rsidRDefault="00D43949" w:rsidP="00D43949">
      <w:pPr>
        <w:jc w:val="center"/>
        <w:rPr>
          <w:b/>
          <w:i/>
        </w:rPr>
      </w:pPr>
      <w:r w:rsidRPr="00B7739A">
        <w:rPr>
          <w:b/>
          <w:i/>
        </w:rPr>
        <w:t xml:space="preserve">[Please note:  This is a memorandum by a law student intern.  It is intended to jump-start your own research.  We have not </w:t>
      </w:r>
      <w:proofErr w:type="spellStart"/>
      <w:r w:rsidRPr="00B7739A">
        <w:rPr>
          <w:b/>
          <w:i/>
        </w:rPr>
        <w:t>Shepardized</w:t>
      </w:r>
      <w:proofErr w:type="spellEnd"/>
      <w:r w:rsidRPr="00B7739A">
        <w:rPr>
          <w:b/>
          <w:i/>
        </w:rPr>
        <w:t xml:space="preserve"> the cases or determined that the student’s analysis of the cases or other sources is correct.]</w:t>
      </w:r>
    </w:p>
    <w:p w14:paraId="0720F852" w14:textId="77777777" w:rsidR="00D43949" w:rsidRDefault="00D43949" w:rsidP="00D43949">
      <w:pPr>
        <w:shd w:val="clear" w:color="auto" w:fill="FFFFFF"/>
        <w:rPr>
          <w:rFonts w:eastAsia="Times New Roman" w:cs="Arial"/>
          <w:bCs/>
          <w:color w:val="000000"/>
          <w:kern w:val="0"/>
          <w:sz w:val="28"/>
          <w:szCs w:val="28"/>
        </w:rPr>
      </w:pPr>
    </w:p>
    <w:p w14:paraId="16E316EB" w14:textId="77777777" w:rsidR="00D43949" w:rsidRPr="003F3CD9" w:rsidRDefault="00D43949" w:rsidP="00D43949">
      <w:pPr>
        <w:shd w:val="clear" w:color="auto" w:fill="FFFFFF"/>
        <w:rPr>
          <w:rFonts w:eastAsia="Times New Roman" w:cs="Arial"/>
          <w:bCs/>
          <w:color w:val="000000"/>
          <w:kern w:val="0"/>
          <w:sz w:val="28"/>
          <w:szCs w:val="28"/>
        </w:rPr>
      </w:pPr>
      <w:r w:rsidRPr="003F3CD9">
        <w:rPr>
          <w:rFonts w:eastAsia="Times New Roman" w:cs="Arial"/>
          <w:bCs/>
          <w:color w:val="000000"/>
          <w:kern w:val="0"/>
          <w:sz w:val="28"/>
          <w:szCs w:val="28"/>
        </w:rPr>
        <w:t>To:  Appellate Panel Support Unit</w:t>
      </w:r>
    </w:p>
    <w:p w14:paraId="20F2E088" w14:textId="77777777" w:rsidR="00D43949" w:rsidRPr="003F3CD9" w:rsidRDefault="00D43949" w:rsidP="00D43949">
      <w:pPr>
        <w:shd w:val="clear" w:color="auto" w:fill="FFFFFF"/>
        <w:rPr>
          <w:rFonts w:eastAsia="Times New Roman" w:cs="Arial"/>
          <w:bCs/>
          <w:color w:val="000000"/>
          <w:kern w:val="0"/>
          <w:sz w:val="28"/>
          <w:szCs w:val="28"/>
        </w:rPr>
      </w:pPr>
      <w:r w:rsidRPr="003F3CD9">
        <w:rPr>
          <w:rFonts w:eastAsia="Times New Roman" w:cs="Arial"/>
          <w:bCs/>
          <w:color w:val="000000"/>
          <w:kern w:val="0"/>
          <w:sz w:val="28"/>
          <w:szCs w:val="28"/>
        </w:rPr>
        <w:t>From: Law Student Intern (</w:t>
      </w:r>
      <w:proofErr w:type="spellStart"/>
      <w:r w:rsidRPr="003F3CD9">
        <w:rPr>
          <w:rFonts w:eastAsia="Times New Roman" w:cs="Arial"/>
          <w:bCs/>
          <w:color w:val="000000"/>
          <w:kern w:val="0"/>
          <w:sz w:val="28"/>
          <w:szCs w:val="28"/>
        </w:rPr>
        <w:t>EdC</w:t>
      </w:r>
      <w:proofErr w:type="spellEnd"/>
      <w:r w:rsidRPr="003F3CD9">
        <w:rPr>
          <w:rFonts w:eastAsia="Times New Roman" w:cs="Arial"/>
          <w:bCs/>
          <w:color w:val="000000"/>
          <w:kern w:val="0"/>
          <w:sz w:val="28"/>
          <w:szCs w:val="28"/>
        </w:rPr>
        <w:t>)</w:t>
      </w:r>
    </w:p>
    <w:p w14:paraId="209C8CDC" w14:textId="77777777" w:rsidR="00D43949" w:rsidRDefault="00D43949" w:rsidP="00D43949">
      <w:pPr>
        <w:shd w:val="clear" w:color="auto" w:fill="FFFFFF"/>
        <w:rPr>
          <w:rFonts w:eastAsia="Times New Roman" w:cs="Arial"/>
          <w:bCs/>
          <w:color w:val="000000"/>
          <w:kern w:val="0"/>
          <w:sz w:val="28"/>
          <w:szCs w:val="28"/>
        </w:rPr>
      </w:pPr>
      <w:r w:rsidRPr="003F3CD9">
        <w:rPr>
          <w:rFonts w:eastAsia="Times New Roman" w:cs="Arial"/>
          <w:bCs/>
          <w:color w:val="000000"/>
          <w:kern w:val="0"/>
          <w:sz w:val="28"/>
          <w:szCs w:val="28"/>
        </w:rPr>
        <w:t>Date: June, 2020</w:t>
      </w:r>
    </w:p>
    <w:p w14:paraId="5D79C328" w14:textId="77777777" w:rsidR="00D43949" w:rsidRDefault="00D43949" w:rsidP="008B4204">
      <w:pPr>
        <w:shd w:val="clear" w:color="auto" w:fill="FFFFFF"/>
        <w:jc w:val="center"/>
        <w:rPr>
          <w:rFonts w:eastAsia="Times New Roman" w:cs="Arial"/>
          <w:b/>
          <w:bCs/>
          <w:color w:val="000000"/>
          <w:kern w:val="0"/>
          <w:sz w:val="28"/>
          <w:szCs w:val="28"/>
          <w:u w:val="single"/>
        </w:rPr>
      </w:pPr>
      <w:bookmarkStart w:id="0" w:name="_GoBack"/>
      <w:bookmarkEnd w:id="0"/>
    </w:p>
    <w:p w14:paraId="1B0FD051" w14:textId="4B783443" w:rsidR="00887ADF" w:rsidRPr="008B4204" w:rsidRDefault="00887ADF" w:rsidP="008B4204">
      <w:pPr>
        <w:shd w:val="clear" w:color="auto" w:fill="FFFFFF"/>
        <w:jc w:val="center"/>
        <w:rPr>
          <w:rFonts w:eastAsia="Times New Roman" w:cs="Arial"/>
          <w:b/>
          <w:bCs/>
          <w:color w:val="000000"/>
          <w:kern w:val="0"/>
          <w:sz w:val="28"/>
          <w:szCs w:val="28"/>
          <w:u w:val="single"/>
        </w:rPr>
      </w:pPr>
      <w:r w:rsidRPr="008B4204">
        <w:rPr>
          <w:rFonts w:eastAsia="Times New Roman" w:cs="Arial"/>
          <w:b/>
          <w:bCs/>
          <w:color w:val="000000"/>
          <w:kern w:val="0"/>
          <w:sz w:val="28"/>
          <w:szCs w:val="28"/>
          <w:u w:val="single"/>
        </w:rPr>
        <w:t>Key Cases</w:t>
      </w:r>
      <w:r w:rsidR="008B4204">
        <w:rPr>
          <w:rFonts w:eastAsia="Times New Roman" w:cs="Arial"/>
          <w:b/>
          <w:bCs/>
          <w:color w:val="000000"/>
          <w:kern w:val="0"/>
          <w:sz w:val="28"/>
          <w:szCs w:val="28"/>
          <w:u w:val="single"/>
        </w:rPr>
        <w:t>—Experts</w:t>
      </w:r>
    </w:p>
    <w:p w14:paraId="17C6F860" w14:textId="473346DA" w:rsidR="008B4204" w:rsidRDefault="008B4204" w:rsidP="008B4204">
      <w:pPr>
        <w:shd w:val="clear" w:color="auto" w:fill="FFFFFF"/>
        <w:jc w:val="center"/>
        <w:rPr>
          <w:rFonts w:eastAsia="Times New Roman" w:cs="Arial"/>
          <w:b/>
          <w:bCs/>
          <w:color w:val="000000"/>
          <w:kern w:val="0"/>
          <w:sz w:val="24"/>
          <w:szCs w:val="24"/>
          <w:u w:val="single"/>
        </w:rPr>
      </w:pPr>
    </w:p>
    <w:p w14:paraId="1531FA15" w14:textId="5519CD56" w:rsidR="008B4204" w:rsidRPr="008B4204" w:rsidRDefault="008B4204" w:rsidP="008B4204">
      <w:pPr>
        <w:shd w:val="clear" w:color="auto" w:fill="FFFFFF"/>
        <w:rPr>
          <w:rFonts w:eastAsia="Times New Roman" w:cs="Arial"/>
          <w:b/>
          <w:bCs/>
          <w:i/>
          <w:iCs/>
          <w:color w:val="000000"/>
          <w:kern w:val="0"/>
          <w:sz w:val="24"/>
          <w:szCs w:val="24"/>
        </w:rPr>
      </w:pPr>
      <w:r w:rsidRPr="008B4204">
        <w:rPr>
          <w:rFonts w:eastAsia="Times New Roman" w:cs="Arial"/>
          <w:b/>
          <w:bCs/>
          <w:i/>
          <w:iCs/>
          <w:color w:val="000000"/>
          <w:kern w:val="0"/>
          <w:sz w:val="24"/>
          <w:szCs w:val="24"/>
        </w:rPr>
        <w:t>SCOTUS Cases:</w:t>
      </w:r>
    </w:p>
    <w:p w14:paraId="59E72F7C" w14:textId="1515A0AF" w:rsidR="008B4204" w:rsidRDefault="008B4204" w:rsidP="008B4204">
      <w:pPr>
        <w:shd w:val="clear" w:color="auto" w:fill="FFFFFF"/>
        <w:rPr>
          <w:rFonts w:eastAsia="Times New Roman" w:cs="Arial"/>
          <w:b/>
          <w:bCs/>
          <w:color w:val="000000"/>
          <w:kern w:val="0"/>
          <w:sz w:val="24"/>
          <w:szCs w:val="24"/>
        </w:rPr>
      </w:pPr>
    </w:p>
    <w:p w14:paraId="79C21DFB" w14:textId="1DD3B1DF" w:rsidR="008B4204" w:rsidRDefault="008B4204" w:rsidP="008B4204">
      <w:pPr>
        <w:rPr>
          <w:sz w:val="24"/>
          <w:szCs w:val="24"/>
        </w:rPr>
      </w:pPr>
      <w:bookmarkStart w:id="1" w:name="_Hlk42254872"/>
      <w:r w:rsidRPr="00D81DF9">
        <w:rPr>
          <w:sz w:val="24"/>
          <w:szCs w:val="24"/>
          <w:u w:val="single"/>
        </w:rPr>
        <w:t>Daubert v. Merr</w:t>
      </w:r>
      <w:r w:rsidR="007A141E">
        <w:rPr>
          <w:sz w:val="24"/>
          <w:szCs w:val="24"/>
          <w:u w:val="single"/>
        </w:rPr>
        <w:t>e</w:t>
      </w:r>
      <w:r w:rsidRPr="00D81DF9">
        <w:rPr>
          <w:sz w:val="24"/>
          <w:szCs w:val="24"/>
          <w:u w:val="single"/>
        </w:rPr>
        <w:t xml:space="preserve">ll Dow </w:t>
      </w:r>
      <w:r w:rsidR="007A141E" w:rsidRPr="00D81DF9">
        <w:rPr>
          <w:sz w:val="24"/>
          <w:szCs w:val="24"/>
          <w:u w:val="single"/>
        </w:rPr>
        <w:t>Pharmaceuticals</w:t>
      </w:r>
      <w:r w:rsidRPr="00D81DF9">
        <w:rPr>
          <w:sz w:val="24"/>
          <w:szCs w:val="24"/>
          <w:u w:val="single"/>
        </w:rPr>
        <w:t>, Inc.</w:t>
      </w:r>
      <w:r w:rsidRPr="00D81DF9">
        <w:rPr>
          <w:sz w:val="24"/>
          <w:szCs w:val="24"/>
        </w:rPr>
        <w:t>, 509 U.S. 579 (1993)</w:t>
      </w:r>
      <w:r>
        <w:rPr>
          <w:sz w:val="24"/>
          <w:szCs w:val="24"/>
        </w:rPr>
        <w:t xml:space="preserve"> </w:t>
      </w:r>
      <w:bookmarkEnd w:id="1"/>
      <w:r>
        <w:rPr>
          <w:sz w:val="24"/>
          <w:szCs w:val="24"/>
        </w:rPr>
        <w:t>(defining standards for admission of scientific evidence)</w:t>
      </w:r>
    </w:p>
    <w:p w14:paraId="5D5B8244" w14:textId="61F3C45B" w:rsidR="005F0257" w:rsidRPr="005F0257" w:rsidRDefault="005F0257" w:rsidP="005F0257">
      <w:pPr>
        <w:pStyle w:val="NoSpacing"/>
        <w:numPr>
          <w:ilvl w:val="0"/>
          <w:numId w:val="2"/>
        </w:numPr>
        <w:jc w:val="both"/>
        <w:rPr>
          <w:sz w:val="24"/>
          <w:szCs w:val="24"/>
        </w:rPr>
      </w:pPr>
      <w:r w:rsidRPr="005F0257">
        <w:rPr>
          <w:sz w:val="24"/>
          <w:szCs w:val="24"/>
          <w:shd w:val="clear" w:color="auto" w:fill="FFFFFF"/>
        </w:rPr>
        <w:t>Rule 702 provides “</w:t>
      </w:r>
      <w:r w:rsidRPr="005F0257">
        <w:rPr>
          <w:rStyle w:val="Emphasis"/>
          <w:i w:val="0"/>
          <w:iCs w:val="0"/>
          <w:sz w:val="24"/>
          <w:szCs w:val="24"/>
          <w:bdr w:val="none" w:sz="0" w:space="0" w:color="auto" w:frame="1"/>
          <w:shd w:val="clear" w:color="auto" w:fill="FFFFFF"/>
        </w:rPr>
        <w:t>[</w:t>
      </w:r>
      <w:proofErr w:type="spellStart"/>
      <w:r w:rsidRPr="005F0257">
        <w:rPr>
          <w:rStyle w:val="Emphasis"/>
          <w:i w:val="0"/>
          <w:iCs w:val="0"/>
          <w:sz w:val="24"/>
          <w:szCs w:val="24"/>
          <w:bdr w:val="none" w:sz="0" w:space="0" w:color="auto" w:frame="1"/>
          <w:shd w:val="clear" w:color="auto" w:fill="FFFFFF"/>
        </w:rPr>
        <w:t>i</w:t>
      </w:r>
      <w:proofErr w:type="spellEnd"/>
      <w:r w:rsidRPr="005F0257">
        <w:rPr>
          <w:rStyle w:val="Emphasis"/>
          <w:i w:val="0"/>
          <w:iCs w:val="0"/>
          <w:sz w:val="24"/>
          <w:szCs w:val="24"/>
          <w:bdr w:val="none" w:sz="0" w:space="0" w:color="auto" w:frame="1"/>
          <w:shd w:val="clear" w:color="auto" w:fill="FFFFFF"/>
        </w:rPr>
        <w:t>]f scientific,</w:t>
      </w:r>
      <w:r w:rsidRPr="005F0257">
        <w:rPr>
          <w:i/>
          <w:iCs/>
          <w:sz w:val="24"/>
          <w:szCs w:val="24"/>
          <w:shd w:val="clear" w:color="auto" w:fill="FFFFFF"/>
        </w:rPr>
        <w:t> </w:t>
      </w:r>
      <w:r w:rsidRPr="005F0257">
        <w:rPr>
          <w:sz w:val="24"/>
          <w:szCs w:val="24"/>
          <w:shd w:val="clear" w:color="auto" w:fill="FFFFFF"/>
        </w:rPr>
        <w:t>technical, or other specialized</w:t>
      </w:r>
      <w:r w:rsidRPr="005F0257">
        <w:rPr>
          <w:i/>
          <w:iCs/>
          <w:sz w:val="24"/>
          <w:szCs w:val="24"/>
          <w:shd w:val="clear" w:color="auto" w:fill="FFFFFF"/>
        </w:rPr>
        <w:t> </w:t>
      </w:r>
      <w:r w:rsidRPr="005F0257">
        <w:rPr>
          <w:rStyle w:val="Emphasis"/>
          <w:i w:val="0"/>
          <w:iCs w:val="0"/>
          <w:sz w:val="24"/>
          <w:szCs w:val="24"/>
          <w:bdr w:val="none" w:sz="0" w:space="0" w:color="auto" w:frame="1"/>
          <w:shd w:val="clear" w:color="auto" w:fill="FFFFFF"/>
        </w:rPr>
        <w:t xml:space="preserve">knowledge </w:t>
      </w:r>
      <w:r w:rsidRPr="005F0257">
        <w:rPr>
          <w:rStyle w:val="Emphasis"/>
          <w:sz w:val="24"/>
          <w:szCs w:val="24"/>
          <w:bdr w:val="none" w:sz="0" w:space="0" w:color="auto" w:frame="1"/>
          <w:shd w:val="clear" w:color="auto" w:fill="FFFFFF"/>
        </w:rPr>
        <w:t>will assist the trier of fact</w:t>
      </w:r>
      <w:r w:rsidRPr="005F0257">
        <w:rPr>
          <w:sz w:val="24"/>
          <w:szCs w:val="24"/>
          <w:shd w:val="clear" w:color="auto" w:fill="FFFFFF"/>
        </w:rPr>
        <w:t> to understand the evidence or to determine a fact in issue” an expert “may testify </w:t>
      </w:r>
      <w:r w:rsidRPr="005F0257">
        <w:rPr>
          <w:rStyle w:val="Emphasis"/>
          <w:i w:val="0"/>
          <w:iCs w:val="0"/>
          <w:sz w:val="24"/>
          <w:szCs w:val="24"/>
          <w:bdr w:val="none" w:sz="0" w:space="0" w:color="auto" w:frame="1"/>
          <w:shd w:val="clear" w:color="auto" w:fill="FFFFFF"/>
        </w:rPr>
        <w:t>thereto.”</w:t>
      </w:r>
      <w:r w:rsidRPr="005F0257">
        <w:rPr>
          <w:sz w:val="24"/>
          <w:szCs w:val="24"/>
          <w:shd w:val="clear" w:color="auto" w:fill="FFFFFF"/>
        </w:rPr>
        <w:t> </w:t>
      </w:r>
      <w:r w:rsidRPr="005F0257">
        <w:rPr>
          <w:i/>
          <w:iCs/>
          <w:sz w:val="24"/>
          <w:szCs w:val="24"/>
          <w:shd w:val="clear" w:color="auto" w:fill="FFFFFF"/>
        </w:rPr>
        <w:t xml:space="preserve">Daubert, </w:t>
      </w:r>
      <w:r w:rsidRPr="005F0257">
        <w:rPr>
          <w:sz w:val="24"/>
          <w:szCs w:val="24"/>
          <w:shd w:val="clear" w:color="auto" w:fill="FFFFFF"/>
        </w:rPr>
        <w:t xml:space="preserve">509 U.S. at 590. This language suggests that an expert may be needed when specialized knowledge is crucial to making a decision that does not violate due process rights. </w:t>
      </w:r>
    </w:p>
    <w:p w14:paraId="6D691157" w14:textId="1B5226EF" w:rsidR="008B4204" w:rsidRDefault="008B4204" w:rsidP="008B4204">
      <w:pPr>
        <w:shd w:val="clear" w:color="auto" w:fill="FFFFFF"/>
        <w:rPr>
          <w:rFonts w:eastAsia="Times New Roman" w:cs="Arial"/>
          <w:b/>
          <w:bCs/>
          <w:color w:val="000000"/>
          <w:kern w:val="0"/>
          <w:sz w:val="24"/>
          <w:szCs w:val="24"/>
        </w:rPr>
      </w:pPr>
    </w:p>
    <w:p w14:paraId="25D4CDC4" w14:textId="72133270" w:rsidR="008B4204" w:rsidRPr="00FD20A4" w:rsidRDefault="008B4204" w:rsidP="008B4204">
      <w:pPr>
        <w:pStyle w:val="NoSpacing"/>
      </w:pPr>
      <w:r w:rsidRPr="00FA6731">
        <w:rPr>
          <w:u w:val="single"/>
        </w:rPr>
        <w:t>Ake v. Oklahoma</w:t>
      </w:r>
      <w:r>
        <w:t xml:space="preserve">, </w:t>
      </w:r>
      <w:r w:rsidRPr="00EC0BCD">
        <w:t>470 U.S. 68 (1985)</w:t>
      </w:r>
      <w:r>
        <w:t xml:space="preserve"> </w:t>
      </w:r>
      <w:r w:rsidRPr="00FD20A4">
        <w:t>(</w:t>
      </w:r>
      <w:r w:rsidRPr="00FD20A4">
        <w:rPr>
          <w:iCs/>
        </w:rPr>
        <w:t>Due process right to</w:t>
      </w:r>
      <w:r w:rsidRPr="00FD20A4">
        <w:t xml:space="preserve"> consulting</w:t>
      </w:r>
      <w:r>
        <w:t xml:space="preserve"> an</w:t>
      </w:r>
      <w:r w:rsidRPr="00FD20A4">
        <w:t xml:space="preserve"> expert</w:t>
      </w:r>
      <w:r>
        <w:t xml:space="preserve">. SCOTUS </w:t>
      </w:r>
      <w:r w:rsidRPr="00FD20A4">
        <w:t>held that due process requires that a criminal defendant have access to a psychiatrist to “conduct an appropriate examination and assist in evaluation, preparation, and presentation of the defense</w:t>
      </w:r>
      <w:r>
        <w:t>” if the defendant’s mental or emotional health is a significant issue at trial. T</w:t>
      </w:r>
      <w:r w:rsidRPr="00FD20A4">
        <w:t>he defendant could not introduce meaningful evidence to rebut the State’s proof of his mental illness as an aggravating factor without the testimony of an expert)</w:t>
      </w:r>
    </w:p>
    <w:p w14:paraId="39AC6B54" w14:textId="77777777" w:rsidR="008B4204" w:rsidRDefault="008B4204" w:rsidP="008B4204">
      <w:pPr>
        <w:shd w:val="clear" w:color="auto" w:fill="FFFFFF"/>
        <w:rPr>
          <w:rFonts w:eastAsia="Times New Roman" w:cs="Arial"/>
          <w:b/>
          <w:bCs/>
          <w:color w:val="000000"/>
          <w:kern w:val="0"/>
          <w:sz w:val="24"/>
          <w:szCs w:val="24"/>
        </w:rPr>
      </w:pPr>
    </w:p>
    <w:p w14:paraId="41AFE44D" w14:textId="1114D94D" w:rsidR="008B4204" w:rsidRDefault="008B4204" w:rsidP="008B4204">
      <w:pPr>
        <w:shd w:val="clear" w:color="auto" w:fill="FFFFFF"/>
        <w:rPr>
          <w:rFonts w:eastAsia="Times New Roman" w:cs="Arial"/>
          <w:b/>
          <w:bCs/>
          <w:i/>
          <w:iCs/>
          <w:color w:val="000000"/>
          <w:kern w:val="0"/>
          <w:sz w:val="24"/>
          <w:szCs w:val="24"/>
        </w:rPr>
      </w:pPr>
      <w:r w:rsidRPr="008B4204">
        <w:rPr>
          <w:rFonts w:eastAsia="Times New Roman" w:cs="Arial"/>
          <w:b/>
          <w:bCs/>
          <w:i/>
          <w:iCs/>
          <w:color w:val="000000"/>
          <w:kern w:val="0"/>
          <w:sz w:val="24"/>
          <w:szCs w:val="24"/>
        </w:rPr>
        <w:t xml:space="preserve">SJC Cases: </w:t>
      </w:r>
    </w:p>
    <w:p w14:paraId="5CA9B3C8" w14:textId="77777777" w:rsidR="00F930DB" w:rsidRPr="00D81DF9" w:rsidRDefault="00F930DB" w:rsidP="00F930DB">
      <w:pPr>
        <w:rPr>
          <w:sz w:val="24"/>
          <w:szCs w:val="24"/>
        </w:rPr>
      </w:pPr>
    </w:p>
    <w:p w14:paraId="0AF1A7AD" w14:textId="5CD7A7C1" w:rsidR="001E48DD" w:rsidRPr="00E51636" w:rsidRDefault="001E48DD" w:rsidP="001E48DD">
      <w:pPr>
        <w:pStyle w:val="NoSpacing"/>
      </w:pPr>
      <w:r w:rsidRPr="00FD20A4">
        <w:rPr>
          <w:u w:val="single"/>
        </w:rPr>
        <w:t>Kace v. Liang</w:t>
      </w:r>
      <w:r w:rsidRPr="00FD20A4">
        <w:t xml:space="preserve">, 472 Mass. 630 (2015) (plaintiff’s limited disclosures of the substance of the expert’s opinion were heavily criticized, </w:t>
      </w:r>
      <w:r>
        <w:t xml:space="preserve">creating </w:t>
      </w:r>
      <w:r w:rsidRPr="00FD20A4">
        <w:t>a close question of whether to reverse</w:t>
      </w:r>
      <w:r w:rsidR="00E51636" w:rsidRPr="00E51636">
        <w:t xml:space="preserve">. However, the appeals court affirmed, holding that </w:t>
      </w:r>
      <w:r w:rsidR="00E51636" w:rsidRPr="00E51636">
        <w:rPr>
          <w:i/>
          <w:iCs/>
          <w:shd w:val="clear" w:color="auto" w:fill="FFFFFF"/>
        </w:rPr>
        <w:t xml:space="preserve">basic </w:t>
      </w:r>
      <w:r w:rsidR="00E51636" w:rsidRPr="00E51636">
        <w:rPr>
          <w:shd w:val="clear" w:color="auto" w:fill="FFFFFF"/>
        </w:rPr>
        <w:t>disclosure requirements of the discovery rule with respect to a contested expert were met: “We conclude that the plaintiff met the basic disclosure requirements of </w:t>
      </w:r>
      <w:hyperlink r:id="rId5" w:history="1">
        <w:r w:rsidR="00E51636" w:rsidRPr="00E51636">
          <w:rPr>
            <w:rStyle w:val="Hyperlink"/>
            <w:color w:val="auto"/>
            <w:bdr w:val="none" w:sz="0" w:space="0" w:color="auto" w:frame="1"/>
            <w:shd w:val="clear" w:color="auto" w:fill="FFFFFF"/>
          </w:rPr>
          <w:t>Rule 26(</w:t>
        </w:r>
        <w:r w:rsidR="00E51636" w:rsidRPr="00E51636">
          <w:rPr>
            <w:rStyle w:val="Emphasis"/>
            <w:bdr w:val="none" w:sz="0" w:space="0" w:color="auto" w:frame="1"/>
            <w:shd w:val="clear" w:color="auto" w:fill="FFFFFF"/>
          </w:rPr>
          <w:t>b</w:t>
        </w:r>
        <w:r w:rsidR="00E51636" w:rsidRPr="00E51636">
          <w:rPr>
            <w:rStyle w:val="Hyperlink"/>
            <w:i/>
            <w:iCs/>
            <w:color w:val="auto"/>
            <w:bdr w:val="none" w:sz="0" w:space="0" w:color="auto" w:frame="1"/>
            <w:shd w:val="clear" w:color="auto" w:fill="FFFFFF"/>
          </w:rPr>
          <w:t>)</w:t>
        </w:r>
        <w:r w:rsidR="00E51636" w:rsidRPr="00E51636">
          <w:rPr>
            <w:rStyle w:val="Hyperlink"/>
            <w:color w:val="auto"/>
            <w:bdr w:val="none" w:sz="0" w:space="0" w:color="auto" w:frame="1"/>
            <w:shd w:val="clear" w:color="auto" w:fill="FFFFFF"/>
          </w:rPr>
          <w:t>(4)(A)(</w:t>
        </w:r>
        <w:proofErr w:type="spellStart"/>
        <w:r w:rsidR="00E51636" w:rsidRPr="00E51636">
          <w:rPr>
            <w:rStyle w:val="Hyperlink"/>
            <w:color w:val="auto"/>
            <w:bdr w:val="none" w:sz="0" w:space="0" w:color="auto" w:frame="1"/>
            <w:shd w:val="clear" w:color="auto" w:fill="FFFFFF"/>
          </w:rPr>
          <w:t>i</w:t>
        </w:r>
        <w:proofErr w:type="spellEnd"/>
        <w:r w:rsidR="00E51636" w:rsidRPr="00E51636">
          <w:rPr>
            <w:rStyle w:val="Hyperlink"/>
            <w:color w:val="auto"/>
            <w:bdr w:val="none" w:sz="0" w:space="0" w:color="auto" w:frame="1"/>
            <w:shd w:val="clear" w:color="auto" w:fill="FFFFFF"/>
          </w:rPr>
          <w:t>)</w:t>
        </w:r>
      </w:hyperlink>
      <w:r w:rsidR="00E51636" w:rsidRPr="00E51636">
        <w:rPr>
          <w:shd w:val="clear" w:color="auto" w:fill="FFFFFF"/>
        </w:rPr>
        <w:t>, although the disclosure was not as clear or complete as it could have been…” 472 Mass. at 631</w:t>
      </w:r>
      <w:r w:rsidRPr="00E51636">
        <w:t xml:space="preserve">)  </w:t>
      </w:r>
    </w:p>
    <w:p w14:paraId="480535E7" w14:textId="77777777" w:rsidR="001E48DD" w:rsidRDefault="001E48DD" w:rsidP="001E48DD">
      <w:pPr>
        <w:rPr>
          <w:sz w:val="24"/>
          <w:szCs w:val="24"/>
          <w:u w:val="single"/>
        </w:rPr>
      </w:pPr>
    </w:p>
    <w:p w14:paraId="28344F15" w14:textId="6C670A5B" w:rsidR="001E48DD" w:rsidRDefault="001E48DD" w:rsidP="001E48DD">
      <w:pPr>
        <w:rPr>
          <w:sz w:val="24"/>
          <w:szCs w:val="24"/>
        </w:rPr>
      </w:pPr>
      <w:r w:rsidRPr="00D81DF9">
        <w:rPr>
          <w:sz w:val="24"/>
          <w:szCs w:val="24"/>
          <w:u w:val="single"/>
        </w:rPr>
        <w:t>Adoption of Sherry</w:t>
      </w:r>
      <w:r w:rsidRPr="00D81DF9">
        <w:rPr>
          <w:sz w:val="24"/>
          <w:szCs w:val="24"/>
        </w:rPr>
        <w:t>, 435 Mass. 331 (200</w:t>
      </w:r>
      <w:r>
        <w:rPr>
          <w:sz w:val="24"/>
          <w:szCs w:val="24"/>
        </w:rPr>
        <w:t>1</w:t>
      </w:r>
      <w:r w:rsidRPr="00D81DF9">
        <w:rPr>
          <w:sz w:val="24"/>
          <w:szCs w:val="24"/>
        </w:rPr>
        <w:t>) (</w:t>
      </w:r>
      <w:r>
        <w:rPr>
          <w:sz w:val="24"/>
          <w:szCs w:val="24"/>
        </w:rPr>
        <w:t xml:space="preserve">holding that </w:t>
      </w:r>
      <w:r w:rsidRPr="00D81DF9">
        <w:rPr>
          <w:sz w:val="24"/>
          <w:szCs w:val="24"/>
        </w:rPr>
        <w:t>opinions held by non-testimonial</w:t>
      </w:r>
      <w:r>
        <w:rPr>
          <w:sz w:val="24"/>
          <w:szCs w:val="24"/>
        </w:rPr>
        <w:t>/c</w:t>
      </w:r>
      <w:r w:rsidRPr="00D81DF9">
        <w:rPr>
          <w:sz w:val="24"/>
          <w:szCs w:val="24"/>
        </w:rPr>
        <w:t>onsulting</w:t>
      </w:r>
      <w:r>
        <w:rPr>
          <w:sz w:val="24"/>
          <w:szCs w:val="24"/>
        </w:rPr>
        <w:t xml:space="preserve"> experts </w:t>
      </w:r>
      <w:r w:rsidRPr="00D81DF9">
        <w:rPr>
          <w:sz w:val="24"/>
          <w:szCs w:val="24"/>
        </w:rPr>
        <w:t>are attorney work product)</w:t>
      </w:r>
    </w:p>
    <w:p w14:paraId="3DDC695E" w14:textId="4BC312BD" w:rsidR="001E48DD" w:rsidRDefault="001E48DD" w:rsidP="001E48DD">
      <w:pPr>
        <w:rPr>
          <w:sz w:val="24"/>
          <w:szCs w:val="24"/>
        </w:rPr>
      </w:pPr>
    </w:p>
    <w:p w14:paraId="15B2C377" w14:textId="49176AB7" w:rsidR="001E48DD" w:rsidRPr="001E48DD" w:rsidRDefault="001E48DD" w:rsidP="001E48DD">
      <w:pPr>
        <w:rPr>
          <w:i/>
          <w:iCs/>
          <w:sz w:val="24"/>
          <w:szCs w:val="24"/>
        </w:rPr>
      </w:pPr>
      <w:r>
        <w:rPr>
          <w:sz w:val="24"/>
          <w:szCs w:val="24"/>
          <w:u w:val="single"/>
        </w:rPr>
        <w:t xml:space="preserve">Case of </w:t>
      </w:r>
      <w:r w:rsidRPr="00D81DF9">
        <w:rPr>
          <w:sz w:val="24"/>
          <w:szCs w:val="24"/>
          <w:u w:val="single"/>
        </w:rPr>
        <w:t>Canavan</w:t>
      </w:r>
      <w:r w:rsidRPr="00D81DF9">
        <w:rPr>
          <w:sz w:val="24"/>
          <w:szCs w:val="24"/>
        </w:rPr>
        <w:t>, 432 Mass. 304 (2000)</w:t>
      </w:r>
      <w:r>
        <w:rPr>
          <w:sz w:val="24"/>
          <w:szCs w:val="24"/>
        </w:rPr>
        <w:t xml:space="preserve"> </w:t>
      </w:r>
      <w:r w:rsidRPr="00D81DF9">
        <w:rPr>
          <w:sz w:val="24"/>
          <w:szCs w:val="24"/>
        </w:rPr>
        <w:t>(</w:t>
      </w:r>
      <w:r>
        <w:rPr>
          <w:sz w:val="24"/>
          <w:szCs w:val="24"/>
        </w:rPr>
        <w:t>applying a</w:t>
      </w:r>
      <w:r w:rsidRPr="00147553">
        <w:rPr>
          <w:sz w:val="24"/>
          <w:szCs w:val="24"/>
        </w:rPr>
        <w:t>buse of discretion standard</w:t>
      </w:r>
      <w:r>
        <w:rPr>
          <w:sz w:val="24"/>
          <w:szCs w:val="24"/>
        </w:rPr>
        <w:t xml:space="preserve"> when reviewing admission of </w:t>
      </w:r>
      <w:r w:rsidRPr="00147553">
        <w:rPr>
          <w:sz w:val="24"/>
          <w:szCs w:val="24"/>
        </w:rPr>
        <w:t>scientific evidence</w:t>
      </w:r>
      <w:r w:rsidRPr="00D81DF9">
        <w:rPr>
          <w:sz w:val="24"/>
          <w:szCs w:val="24"/>
        </w:rPr>
        <w:t>)</w:t>
      </w:r>
      <w:r>
        <w:rPr>
          <w:sz w:val="24"/>
          <w:szCs w:val="24"/>
        </w:rPr>
        <w:t xml:space="preserve"> </w:t>
      </w:r>
      <w:r>
        <w:rPr>
          <w:i/>
          <w:iCs/>
          <w:sz w:val="24"/>
          <w:szCs w:val="24"/>
        </w:rPr>
        <w:t xml:space="preserve">*at risk for being overruled due to negative treatment </w:t>
      </w:r>
    </w:p>
    <w:p w14:paraId="68949C12" w14:textId="77777777" w:rsidR="001E48DD" w:rsidRDefault="001E48DD" w:rsidP="00F930DB">
      <w:pPr>
        <w:rPr>
          <w:sz w:val="24"/>
          <w:szCs w:val="24"/>
          <w:u w:val="single"/>
        </w:rPr>
      </w:pPr>
    </w:p>
    <w:p w14:paraId="143F54ED" w14:textId="3702B21F" w:rsidR="00F930DB" w:rsidRDefault="00F930DB" w:rsidP="00F930DB">
      <w:pPr>
        <w:rPr>
          <w:sz w:val="24"/>
          <w:szCs w:val="24"/>
        </w:rPr>
      </w:pPr>
      <w:r w:rsidRPr="00D81DF9">
        <w:rPr>
          <w:sz w:val="24"/>
          <w:szCs w:val="24"/>
          <w:u w:val="single"/>
        </w:rPr>
        <w:t>Commonwealth v. Lanigan</w:t>
      </w:r>
      <w:r w:rsidRPr="00D81DF9">
        <w:rPr>
          <w:sz w:val="24"/>
          <w:szCs w:val="24"/>
        </w:rPr>
        <w:t>, 419 Mass. 15 (1994)</w:t>
      </w:r>
      <w:r>
        <w:rPr>
          <w:sz w:val="24"/>
          <w:szCs w:val="24"/>
        </w:rPr>
        <w:t xml:space="preserve"> </w:t>
      </w:r>
      <w:r w:rsidRPr="00D81DF9">
        <w:rPr>
          <w:sz w:val="24"/>
          <w:szCs w:val="24"/>
        </w:rPr>
        <w:t xml:space="preserve">(adopting </w:t>
      </w:r>
      <w:r w:rsidRPr="00D81DF9">
        <w:rPr>
          <w:sz w:val="24"/>
          <w:szCs w:val="24"/>
          <w:u w:val="single"/>
        </w:rPr>
        <w:t>Daubert</w:t>
      </w:r>
      <w:r w:rsidRPr="00F930DB">
        <w:rPr>
          <w:sz w:val="24"/>
          <w:szCs w:val="24"/>
        </w:rPr>
        <w:t xml:space="preserve"> in M</w:t>
      </w:r>
      <w:r>
        <w:rPr>
          <w:sz w:val="24"/>
          <w:szCs w:val="24"/>
        </w:rPr>
        <w:t>A)</w:t>
      </w:r>
    </w:p>
    <w:p w14:paraId="7D781731" w14:textId="77777777" w:rsidR="001E48DD" w:rsidRDefault="001E48DD" w:rsidP="00F930DB">
      <w:pPr>
        <w:rPr>
          <w:sz w:val="24"/>
          <w:szCs w:val="24"/>
        </w:rPr>
      </w:pPr>
    </w:p>
    <w:p w14:paraId="47022F66" w14:textId="11F9CB8E" w:rsidR="001E48DD" w:rsidRPr="001E48DD" w:rsidRDefault="001E48DD" w:rsidP="001E48DD">
      <w:pPr>
        <w:pStyle w:val="NoSpacing"/>
      </w:pPr>
      <w:r w:rsidRPr="00FD20A4">
        <w:rPr>
          <w:u w:val="single"/>
        </w:rPr>
        <w:t>Adoption of Mary</w:t>
      </w:r>
      <w:r w:rsidRPr="00FD20A4">
        <w:t>, 414 Mass. 705, 710 (1993)</w:t>
      </w:r>
      <w:r>
        <w:t xml:space="preserve"> (</w:t>
      </w:r>
      <w:r w:rsidRPr="00FD20A4">
        <w:t>Parents have a due process right to an opportunity to rebut DCF’s adverse allegations</w:t>
      </w:r>
      <w:r>
        <w:t>)</w:t>
      </w:r>
    </w:p>
    <w:p w14:paraId="207E0117" w14:textId="1CFC84A2" w:rsidR="001E48DD" w:rsidRDefault="001E48DD" w:rsidP="00F930DB">
      <w:pPr>
        <w:rPr>
          <w:sz w:val="24"/>
          <w:szCs w:val="24"/>
        </w:rPr>
      </w:pPr>
    </w:p>
    <w:p w14:paraId="1E78F3F3" w14:textId="4E08B6A0" w:rsidR="001E48DD" w:rsidRPr="001E48DD" w:rsidRDefault="001E48DD" w:rsidP="001E48DD">
      <w:pPr>
        <w:pStyle w:val="NoSpacing"/>
      </w:pPr>
      <w:r w:rsidRPr="00FD20A4">
        <w:rPr>
          <w:u w:val="single"/>
        </w:rPr>
        <w:t>Derby Refining Co. v. City of Chelsea</w:t>
      </w:r>
      <w:r w:rsidRPr="00FD20A4">
        <w:t xml:space="preserve">, 407 Mass. 703, 716 (1990) (notification of expert two months before trial </w:t>
      </w:r>
      <w:r>
        <w:t xml:space="preserve">was </w:t>
      </w:r>
      <w:r w:rsidRPr="00FD20A4">
        <w:t>non-prejudicial)</w:t>
      </w:r>
    </w:p>
    <w:p w14:paraId="4129B14D" w14:textId="77777777" w:rsidR="00F930DB" w:rsidRDefault="00F930DB" w:rsidP="00F930DB">
      <w:pPr>
        <w:rPr>
          <w:sz w:val="24"/>
          <w:szCs w:val="24"/>
          <w:u w:val="single"/>
        </w:rPr>
      </w:pPr>
    </w:p>
    <w:p w14:paraId="65E33285" w14:textId="790AB4D9" w:rsidR="00F930DB" w:rsidRDefault="00F930DB" w:rsidP="001E48DD">
      <w:pPr>
        <w:rPr>
          <w:sz w:val="24"/>
          <w:szCs w:val="24"/>
        </w:rPr>
      </w:pPr>
      <w:r w:rsidRPr="00D81DF9">
        <w:rPr>
          <w:sz w:val="24"/>
          <w:szCs w:val="24"/>
          <w:u w:val="single"/>
        </w:rPr>
        <w:t>Department of Youth Services v. a Juvenile</w:t>
      </w:r>
      <w:r w:rsidRPr="00D81DF9">
        <w:rPr>
          <w:sz w:val="24"/>
          <w:szCs w:val="24"/>
        </w:rPr>
        <w:t>, 398 Mass. 516 (1986) (</w:t>
      </w:r>
      <w:r>
        <w:rPr>
          <w:sz w:val="24"/>
          <w:szCs w:val="24"/>
        </w:rPr>
        <w:t xml:space="preserve">allowing expert to base </w:t>
      </w:r>
      <w:r w:rsidRPr="00147553">
        <w:rPr>
          <w:sz w:val="24"/>
          <w:szCs w:val="24"/>
        </w:rPr>
        <w:t xml:space="preserve">opinion on facts or data not in evidence </w:t>
      </w:r>
      <w:r>
        <w:rPr>
          <w:sz w:val="24"/>
          <w:szCs w:val="24"/>
        </w:rPr>
        <w:t>where</w:t>
      </w:r>
      <w:r w:rsidRPr="00147553">
        <w:rPr>
          <w:sz w:val="24"/>
          <w:szCs w:val="24"/>
        </w:rPr>
        <w:t xml:space="preserve"> independently admissible and are permissible basis for expert to consider</w:t>
      </w:r>
      <w:r w:rsidRPr="00D81DF9">
        <w:rPr>
          <w:sz w:val="24"/>
          <w:szCs w:val="24"/>
        </w:rPr>
        <w:t>)</w:t>
      </w:r>
    </w:p>
    <w:p w14:paraId="2AC8F3AD" w14:textId="7A38FDA6" w:rsidR="001E48DD" w:rsidRDefault="001E48DD" w:rsidP="001E48DD">
      <w:pPr>
        <w:rPr>
          <w:sz w:val="24"/>
          <w:szCs w:val="24"/>
        </w:rPr>
      </w:pPr>
    </w:p>
    <w:p w14:paraId="7767C648" w14:textId="1240F4B9" w:rsidR="001E48DD" w:rsidRPr="001E48DD" w:rsidRDefault="001E48DD" w:rsidP="001E48DD">
      <w:pPr>
        <w:rPr>
          <w:iCs/>
        </w:rPr>
      </w:pPr>
      <w:proofErr w:type="spellStart"/>
      <w:r w:rsidRPr="00C95253">
        <w:rPr>
          <w:iCs/>
          <w:u w:val="single"/>
        </w:rPr>
        <w:t>Duro</w:t>
      </w:r>
      <w:proofErr w:type="spellEnd"/>
      <w:r w:rsidRPr="00C95253">
        <w:rPr>
          <w:iCs/>
          <w:u w:val="single"/>
        </w:rPr>
        <w:t xml:space="preserve"> v. </w:t>
      </w:r>
      <w:proofErr w:type="spellStart"/>
      <w:r w:rsidRPr="00C95253">
        <w:rPr>
          <w:iCs/>
          <w:u w:val="single"/>
        </w:rPr>
        <w:t>Duro</w:t>
      </w:r>
      <w:proofErr w:type="spellEnd"/>
      <w:r w:rsidRPr="00C95253">
        <w:rPr>
          <w:iCs/>
          <w:u w:val="single"/>
        </w:rPr>
        <w:t>,</w:t>
      </w:r>
      <w:r w:rsidRPr="00C0239B">
        <w:rPr>
          <w:iCs/>
        </w:rPr>
        <w:t xml:space="preserve"> 392 Mass. 574, 580 (1984)</w:t>
      </w:r>
      <w:r>
        <w:rPr>
          <w:iCs/>
        </w:rPr>
        <w:t xml:space="preserve"> </w:t>
      </w:r>
      <w:r w:rsidRPr="00C95253">
        <w:rPr>
          <w:iCs/>
        </w:rPr>
        <w:t>(If DCF’s allegations concern complex medical or mental health issues, the parent may need an expert to rebut those allegations)</w:t>
      </w:r>
    </w:p>
    <w:p w14:paraId="7B134424" w14:textId="2D2A2439" w:rsidR="008B4204" w:rsidRDefault="008B4204" w:rsidP="008B4204">
      <w:pPr>
        <w:shd w:val="clear" w:color="auto" w:fill="FFFFFF"/>
        <w:rPr>
          <w:rFonts w:eastAsia="Times New Roman" w:cs="Arial"/>
          <w:b/>
          <w:bCs/>
          <w:color w:val="000000"/>
          <w:kern w:val="0"/>
          <w:sz w:val="24"/>
          <w:szCs w:val="24"/>
        </w:rPr>
      </w:pPr>
    </w:p>
    <w:p w14:paraId="44BC5E05" w14:textId="2DB4A6E6" w:rsidR="008B4204" w:rsidRPr="008B4204" w:rsidRDefault="008B4204" w:rsidP="008B4204">
      <w:pPr>
        <w:shd w:val="clear" w:color="auto" w:fill="FFFFFF"/>
        <w:rPr>
          <w:rFonts w:eastAsia="Times New Roman" w:cs="Arial"/>
          <w:b/>
          <w:bCs/>
          <w:i/>
          <w:iCs/>
          <w:color w:val="000000"/>
          <w:kern w:val="0"/>
          <w:sz w:val="24"/>
          <w:szCs w:val="24"/>
        </w:rPr>
      </w:pPr>
      <w:r w:rsidRPr="008B4204">
        <w:rPr>
          <w:rFonts w:eastAsia="Times New Roman" w:cs="Arial"/>
          <w:b/>
          <w:bCs/>
          <w:i/>
          <w:iCs/>
          <w:color w:val="000000"/>
          <w:kern w:val="0"/>
          <w:sz w:val="24"/>
          <w:szCs w:val="24"/>
        </w:rPr>
        <w:t xml:space="preserve">MA Appeals Court Cases: </w:t>
      </w:r>
    </w:p>
    <w:p w14:paraId="0673816D" w14:textId="1838EB19" w:rsidR="008B4204" w:rsidRDefault="008B4204" w:rsidP="008B4204">
      <w:pPr>
        <w:shd w:val="clear" w:color="auto" w:fill="FFFFFF"/>
        <w:rPr>
          <w:rFonts w:eastAsia="Times New Roman" w:cs="Arial"/>
          <w:b/>
          <w:bCs/>
          <w:color w:val="000000"/>
          <w:kern w:val="0"/>
          <w:sz w:val="24"/>
          <w:szCs w:val="24"/>
        </w:rPr>
      </w:pPr>
    </w:p>
    <w:p w14:paraId="5D6E7077" w14:textId="77777777" w:rsidR="008B4204" w:rsidRDefault="008B4204" w:rsidP="008B4204">
      <w:pPr>
        <w:pStyle w:val="NoSpacing"/>
      </w:pPr>
      <w:r w:rsidRPr="00FD20A4">
        <w:rPr>
          <w:u w:val="single"/>
        </w:rPr>
        <w:t>GPH Cohasset, LLC v. Trustees of Reservations</w:t>
      </w:r>
      <w:r w:rsidRPr="00FD20A4">
        <w:t xml:space="preserve">, 85 Mass. App. Ct. 555, 561 (2014) (trial judge </w:t>
      </w:r>
      <w:r>
        <w:t xml:space="preserve">acted properly </w:t>
      </w:r>
      <w:r w:rsidRPr="00FD20A4">
        <w:t xml:space="preserve">within his discretion to exclude plaintiff’s two expert witnesses who were not disclosed in interrogatory answers before discovery closed, </w:t>
      </w:r>
      <w:r>
        <w:t>despite the</w:t>
      </w:r>
      <w:r w:rsidRPr="00FD20A4">
        <w:t xml:space="preserve"> experts </w:t>
      </w:r>
      <w:r>
        <w:t>being disclosed</w:t>
      </w:r>
      <w:r w:rsidRPr="00FD20A4">
        <w:t xml:space="preserve"> in pretrial four months before trial)</w:t>
      </w:r>
    </w:p>
    <w:p w14:paraId="3B94FB03" w14:textId="77777777" w:rsidR="008B4204" w:rsidRDefault="008B4204" w:rsidP="008B4204">
      <w:pPr>
        <w:rPr>
          <w:sz w:val="24"/>
          <w:szCs w:val="24"/>
          <w:u w:val="single"/>
        </w:rPr>
      </w:pPr>
    </w:p>
    <w:p w14:paraId="3FF7EF77" w14:textId="0761520A" w:rsidR="008B4204" w:rsidRDefault="008B4204" w:rsidP="008B4204">
      <w:pPr>
        <w:rPr>
          <w:sz w:val="24"/>
          <w:szCs w:val="24"/>
        </w:rPr>
      </w:pPr>
      <w:r w:rsidRPr="00D81DF9">
        <w:rPr>
          <w:sz w:val="24"/>
          <w:szCs w:val="24"/>
          <w:u w:val="single"/>
        </w:rPr>
        <w:t xml:space="preserve">Adoption of </w:t>
      </w:r>
      <w:proofErr w:type="spellStart"/>
      <w:r w:rsidRPr="00D81DF9">
        <w:rPr>
          <w:sz w:val="24"/>
          <w:szCs w:val="24"/>
          <w:u w:val="single"/>
        </w:rPr>
        <w:t>Willamina</w:t>
      </w:r>
      <w:proofErr w:type="spellEnd"/>
      <w:r w:rsidRPr="00D81DF9">
        <w:rPr>
          <w:sz w:val="24"/>
          <w:szCs w:val="24"/>
        </w:rPr>
        <w:t>, 71 Mass. App. Ct. 320 (2008) (</w:t>
      </w:r>
      <w:r>
        <w:rPr>
          <w:sz w:val="24"/>
          <w:szCs w:val="24"/>
        </w:rPr>
        <w:t>requiring attorneys to object</w:t>
      </w:r>
      <w:r w:rsidRPr="00D81DF9">
        <w:rPr>
          <w:sz w:val="24"/>
          <w:szCs w:val="24"/>
        </w:rPr>
        <w:t xml:space="preserve"> to impermissible expert evidence at trial)</w:t>
      </w:r>
    </w:p>
    <w:p w14:paraId="71F43107" w14:textId="4009BF72" w:rsidR="008B4204" w:rsidRDefault="008B4204" w:rsidP="008B4204">
      <w:pPr>
        <w:rPr>
          <w:sz w:val="24"/>
          <w:szCs w:val="24"/>
        </w:rPr>
      </w:pPr>
    </w:p>
    <w:p w14:paraId="51025374" w14:textId="2071448D" w:rsidR="008B4204" w:rsidRDefault="008B4204" w:rsidP="008B4204">
      <w:pPr>
        <w:rPr>
          <w:rFonts w:eastAsia="Times New Roman"/>
          <w:color w:val="000000"/>
        </w:rPr>
      </w:pPr>
      <w:r w:rsidRPr="006772F8">
        <w:rPr>
          <w:rFonts w:eastAsia="Times New Roman"/>
          <w:color w:val="000000"/>
          <w:u w:val="single"/>
        </w:rPr>
        <w:t>Com. v. Searles</w:t>
      </w:r>
      <w:r w:rsidRPr="006C1E8E">
        <w:rPr>
          <w:rFonts w:eastAsia="Times New Roman"/>
          <w:color w:val="000000"/>
        </w:rPr>
        <w:t>, 73 Mass. App. Ct. 1105, *1 (2008)</w:t>
      </w:r>
      <w:r>
        <w:rPr>
          <w:rFonts w:eastAsia="Times New Roman"/>
          <w:color w:val="000000"/>
        </w:rPr>
        <w:t xml:space="preserve"> (Rule 1:28 decision) (to bring a </w:t>
      </w:r>
      <w:r w:rsidRPr="006C1E8E">
        <w:rPr>
          <w:rFonts w:eastAsia="Times New Roman"/>
          <w:color w:val="000000"/>
        </w:rPr>
        <w:t xml:space="preserve">successful claim of a due process violation under </w:t>
      </w:r>
      <w:r w:rsidRPr="006C1E8E">
        <w:rPr>
          <w:rFonts w:eastAsia="Times New Roman"/>
          <w:i/>
          <w:color w:val="000000"/>
        </w:rPr>
        <w:t>Ake</w:t>
      </w:r>
      <w:r w:rsidRPr="006C1E8E">
        <w:rPr>
          <w:rFonts w:eastAsia="Times New Roman"/>
          <w:color w:val="000000"/>
        </w:rPr>
        <w:t>, the defendant’s sanity must be at issue in the case</w:t>
      </w:r>
      <w:r>
        <w:rPr>
          <w:rFonts w:eastAsia="Times New Roman"/>
          <w:color w:val="000000"/>
        </w:rPr>
        <w:t>)</w:t>
      </w:r>
    </w:p>
    <w:p w14:paraId="345F88D9" w14:textId="5011CC71" w:rsidR="008B4204" w:rsidRDefault="008B4204" w:rsidP="008B4204">
      <w:pPr>
        <w:rPr>
          <w:rFonts w:eastAsia="Times New Roman"/>
          <w:color w:val="000000"/>
        </w:rPr>
      </w:pPr>
    </w:p>
    <w:p w14:paraId="55DCDC32" w14:textId="17749C93" w:rsidR="008B4204" w:rsidRPr="008B4204" w:rsidRDefault="008B4204" w:rsidP="008B4204">
      <w:pPr>
        <w:pStyle w:val="NoSpacing"/>
      </w:pPr>
      <w:r w:rsidRPr="00FD20A4">
        <w:rPr>
          <w:u w:val="single"/>
        </w:rPr>
        <w:t xml:space="preserve">Morgan v. </w:t>
      </w:r>
      <w:proofErr w:type="spellStart"/>
      <w:r w:rsidRPr="00FD20A4">
        <w:rPr>
          <w:u w:val="single"/>
        </w:rPr>
        <w:t>Jozus</w:t>
      </w:r>
      <w:proofErr w:type="spellEnd"/>
      <w:r w:rsidRPr="00410A0A">
        <w:t xml:space="preserve">, 67 Mass. App. Ct. 17, 24 (2006) (judge enjoys broad discretion in imposing sanctions, including excluding expert for failure to </w:t>
      </w:r>
      <w:r w:rsidRPr="00FD20A4">
        <w:t xml:space="preserve">comply with discovery, but must consider other options including a </w:t>
      </w:r>
      <w:proofErr w:type="spellStart"/>
      <w:r w:rsidRPr="00FD20A4">
        <w:t>sua</w:t>
      </w:r>
      <w:proofErr w:type="spellEnd"/>
      <w:r w:rsidRPr="00FD20A4">
        <w:t xml:space="preserve"> </w:t>
      </w:r>
      <w:proofErr w:type="spellStart"/>
      <w:r w:rsidRPr="00FD20A4">
        <w:t>sponte</w:t>
      </w:r>
      <w:proofErr w:type="spellEnd"/>
      <w:r w:rsidRPr="00FD20A4">
        <w:t xml:space="preserve"> continuance for trial) </w:t>
      </w:r>
    </w:p>
    <w:p w14:paraId="591977CE" w14:textId="4115FD0B" w:rsidR="008B4204" w:rsidRDefault="008B4204" w:rsidP="008B4204">
      <w:pPr>
        <w:rPr>
          <w:sz w:val="24"/>
          <w:szCs w:val="24"/>
        </w:rPr>
      </w:pPr>
    </w:p>
    <w:p w14:paraId="2C6C4D0A" w14:textId="77777777" w:rsidR="008B4204" w:rsidRDefault="008B4204" w:rsidP="008B4204">
      <w:r w:rsidRPr="00195FBE">
        <w:rPr>
          <w:u w:val="single"/>
        </w:rPr>
        <w:t>Commonwealth v. Dukes</w:t>
      </w:r>
      <w:r>
        <w:t xml:space="preserve">, </w:t>
      </w:r>
      <w:r w:rsidRPr="000C3415">
        <w:rPr>
          <w:rFonts w:eastAsia="Times New Roman"/>
          <w:color w:val="000000"/>
        </w:rPr>
        <w:t>62 Mass. App. Ct. 1109, *1 (2004)</w:t>
      </w:r>
      <w:r>
        <w:rPr>
          <w:rFonts w:eastAsia="Times New Roman"/>
          <w:color w:val="000000"/>
        </w:rPr>
        <w:t xml:space="preserve"> (Rule 1:28 decision). (The defendant argued that the appeals court denial of </w:t>
      </w:r>
      <w:r>
        <w:t xml:space="preserve">motion for a psychiatric evaluation to aid in sentencing deprived him of a constitutional right via </w:t>
      </w:r>
      <w:r>
        <w:rPr>
          <w:i/>
          <w:iCs/>
        </w:rPr>
        <w:t xml:space="preserve">Ake; </w:t>
      </w:r>
      <w:r>
        <w:t>the court rejected this argument because the defendant did not show that a mental health expert’s testimony would have resulted in a lesser sentence)</w:t>
      </w:r>
    </w:p>
    <w:p w14:paraId="0399555C" w14:textId="007C05B0" w:rsidR="008B4204" w:rsidRDefault="008B4204" w:rsidP="008B4204">
      <w:pPr>
        <w:rPr>
          <w:sz w:val="24"/>
          <w:szCs w:val="24"/>
        </w:rPr>
      </w:pPr>
    </w:p>
    <w:p w14:paraId="70FDCA82" w14:textId="778F4777" w:rsidR="008B4204" w:rsidRDefault="008B4204" w:rsidP="008B4204">
      <w:pPr>
        <w:pStyle w:val="NoSpacing"/>
      </w:pPr>
      <w:r w:rsidRPr="00FD20A4">
        <w:rPr>
          <w:u w:val="single"/>
        </w:rPr>
        <w:t>Mattoon v. City of Pittsfield</w:t>
      </w:r>
      <w:r w:rsidRPr="00410A0A">
        <w:t>, 56 Mass. App. Ct. 124, 132, 136–37 (2002) (</w:t>
      </w:r>
      <w:r w:rsidRPr="00FD20A4">
        <w:t>judge properly excludes testimony of witness who would have offered expert opinion and had not be designated as an expert witness, where plaintiffs did not identify expert within 60 days of pretrial as ordered by judge, and cancelled three depositions of expert and where warned by judge that considering precluding expert from testifying)</w:t>
      </w:r>
    </w:p>
    <w:p w14:paraId="4EB5A83A" w14:textId="2A03869F" w:rsidR="008B4204" w:rsidRDefault="008B4204" w:rsidP="008B4204">
      <w:pPr>
        <w:pStyle w:val="NoSpacing"/>
      </w:pPr>
    </w:p>
    <w:p w14:paraId="79D414BE" w14:textId="77777777" w:rsidR="008B4204" w:rsidRDefault="008B4204" w:rsidP="008B4204">
      <w:pPr>
        <w:pStyle w:val="NoSpacing"/>
      </w:pPr>
      <w:proofErr w:type="spellStart"/>
      <w:r w:rsidRPr="00FD20A4">
        <w:rPr>
          <w:u w:val="single"/>
        </w:rPr>
        <w:t>Resendes</w:t>
      </w:r>
      <w:proofErr w:type="spellEnd"/>
      <w:r w:rsidRPr="00FD20A4">
        <w:rPr>
          <w:u w:val="single"/>
        </w:rPr>
        <w:t xml:space="preserve"> v. Boston Edison Co</w:t>
      </w:r>
      <w:r w:rsidRPr="00FD20A4">
        <w:t>., 38 Mass. App. Ct. 344, 350–51 (1995) (notification one month before trial sufficient notice of expert)</w:t>
      </w:r>
    </w:p>
    <w:p w14:paraId="64505B86" w14:textId="77777777" w:rsidR="008B4204" w:rsidRDefault="008B4204" w:rsidP="008B4204">
      <w:pPr>
        <w:pStyle w:val="NoSpacing"/>
      </w:pPr>
    </w:p>
    <w:p w14:paraId="740F6996" w14:textId="58B1F0C6" w:rsidR="008B4204" w:rsidRPr="001E48DD" w:rsidRDefault="00F930DB" w:rsidP="001E48DD">
      <w:pPr>
        <w:pStyle w:val="NoSpacing"/>
      </w:pPr>
      <w:proofErr w:type="spellStart"/>
      <w:r w:rsidRPr="00FD20A4">
        <w:rPr>
          <w:u w:val="single"/>
        </w:rPr>
        <w:t>Giannaros</w:t>
      </w:r>
      <w:proofErr w:type="spellEnd"/>
      <w:r w:rsidRPr="00FD20A4">
        <w:rPr>
          <w:u w:val="single"/>
        </w:rPr>
        <w:t xml:space="preserve"> v. Walker</w:t>
      </w:r>
      <w:r w:rsidRPr="00FD20A4">
        <w:t>, 16 Mass. App. Ct. 902, 902 (1983) (notification of expert 10 days before trial sufficient where aggrieved party had opportunity to seek a continuance)</w:t>
      </w:r>
    </w:p>
    <w:p w14:paraId="22E15495" w14:textId="77777777" w:rsidR="008B4204" w:rsidRDefault="008B4204" w:rsidP="003C61A5">
      <w:pPr>
        <w:rPr>
          <w:sz w:val="24"/>
          <w:szCs w:val="24"/>
        </w:rPr>
      </w:pPr>
    </w:p>
    <w:p w14:paraId="2BD7F318" w14:textId="5F88B3B3" w:rsidR="001E48DD" w:rsidRDefault="001E48DD" w:rsidP="003C61A5">
      <w:pPr>
        <w:rPr>
          <w:b/>
          <w:bCs/>
          <w:i/>
          <w:iCs/>
          <w:sz w:val="24"/>
          <w:szCs w:val="24"/>
        </w:rPr>
      </w:pPr>
      <w:r>
        <w:rPr>
          <w:b/>
          <w:bCs/>
          <w:i/>
          <w:iCs/>
          <w:sz w:val="24"/>
          <w:szCs w:val="24"/>
        </w:rPr>
        <w:t xml:space="preserve">Other States: </w:t>
      </w:r>
    </w:p>
    <w:p w14:paraId="1A62BB23" w14:textId="77777777" w:rsidR="001E48DD" w:rsidRPr="001E48DD" w:rsidRDefault="001E48DD" w:rsidP="003C61A5">
      <w:pPr>
        <w:rPr>
          <w:b/>
          <w:bCs/>
          <w:i/>
          <w:iCs/>
          <w:sz w:val="24"/>
          <w:szCs w:val="24"/>
        </w:rPr>
      </w:pPr>
    </w:p>
    <w:p w14:paraId="5E7AE86C" w14:textId="203AE56B" w:rsidR="00E51636" w:rsidRDefault="00E51636" w:rsidP="003C61A5">
      <w:pPr>
        <w:rPr>
          <w:rFonts w:eastAsia="Times New Roman"/>
        </w:rPr>
      </w:pPr>
      <w:r w:rsidRPr="00E51636">
        <w:rPr>
          <w:rFonts w:eastAsia="Times New Roman"/>
          <w:u w:val="single"/>
        </w:rPr>
        <w:t>State of N.M. ex rel. CYFD v. Kathleen D.C</w:t>
      </w:r>
      <w:r w:rsidRPr="00B36ABE">
        <w:rPr>
          <w:rFonts w:eastAsia="Times New Roman"/>
          <w:i/>
          <w:iCs/>
        </w:rPr>
        <w:t>.</w:t>
      </w:r>
      <w:r w:rsidRPr="00EC0BCD">
        <w:rPr>
          <w:rFonts w:eastAsia="Times New Roman"/>
        </w:rPr>
        <w:t>, 157 P.3d 714</w:t>
      </w:r>
      <w:r>
        <w:rPr>
          <w:rFonts w:eastAsia="Times New Roman"/>
        </w:rPr>
        <w:t xml:space="preserve"> </w:t>
      </w:r>
      <w:r w:rsidRPr="00EC0BCD">
        <w:rPr>
          <w:rFonts w:eastAsia="Times New Roman"/>
        </w:rPr>
        <w:t>(</w:t>
      </w:r>
      <w:r>
        <w:rPr>
          <w:rFonts w:eastAsia="Times New Roman"/>
        </w:rPr>
        <w:t xml:space="preserve">N.M. </w:t>
      </w:r>
      <w:r w:rsidRPr="00EC0BCD">
        <w:rPr>
          <w:rFonts w:eastAsia="Times New Roman"/>
        </w:rPr>
        <w:t>2007)</w:t>
      </w:r>
      <w:r w:rsidR="00923B3C">
        <w:rPr>
          <w:rFonts w:eastAsia="Times New Roman"/>
        </w:rPr>
        <w:t xml:space="preserve"> (</w:t>
      </w:r>
      <w:r w:rsidR="00923B3C" w:rsidRPr="00EC0BCD">
        <w:rPr>
          <w:rFonts w:eastAsia="Times New Roman"/>
        </w:rPr>
        <w:t>The Supreme Court of New Mexico held that in some circumstances, the court must appoint an expert to an indigent parent when there is “</w:t>
      </w:r>
      <w:r w:rsidR="00923B3C" w:rsidRPr="00EC0BCD">
        <w:rPr>
          <w:rFonts w:eastAsia="Times New Roman"/>
          <w:shd w:val="clear" w:color="auto" w:fill="FFFFFF"/>
        </w:rPr>
        <w:t>an increased risk of an erroneous deprivation of the parent's interest without the appointment of an expert</w:t>
      </w:r>
      <w:r w:rsidR="00923B3C">
        <w:rPr>
          <w:rFonts w:eastAsia="Times New Roman"/>
          <w:shd w:val="clear" w:color="auto" w:fill="FFFFFF"/>
        </w:rPr>
        <w:t>”)</w:t>
      </w:r>
    </w:p>
    <w:p w14:paraId="7F5AF3E8" w14:textId="77777777" w:rsidR="00E51636" w:rsidRDefault="00E51636" w:rsidP="003C61A5">
      <w:pPr>
        <w:rPr>
          <w:sz w:val="24"/>
          <w:szCs w:val="24"/>
          <w:u w:val="single"/>
        </w:rPr>
      </w:pPr>
    </w:p>
    <w:p w14:paraId="71BA5115" w14:textId="60256FFE" w:rsidR="008B4204" w:rsidRPr="00F930DB" w:rsidRDefault="0017521B" w:rsidP="003C61A5">
      <w:pPr>
        <w:rPr>
          <w:sz w:val="24"/>
          <w:szCs w:val="24"/>
        </w:rPr>
      </w:pPr>
      <w:r>
        <w:rPr>
          <w:sz w:val="24"/>
          <w:szCs w:val="24"/>
          <w:u w:val="single"/>
        </w:rPr>
        <w:t xml:space="preserve">B.B. v. People, </w:t>
      </w:r>
      <w:r>
        <w:rPr>
          <w:sz w:val="24"/>
          <w:szCs w:val="24"/>
        </w:rPr>
        <w:t xml:space="preserve">785 P.2d 132 (1990) </w:t>
      </w:r>
      <w:r w:rsidR="0030202A">
        <w:rPr>
          <w:sz w:val="24"/>
          <w:szCs w:val="24"/>
        </w:rPr>
        <w:t>(</w:t>
      </w:r>
      <w:r w:rsidR="001E48DD">
        <w:rPr>
          <w:sz w:val="24"/>
          <w:szCs w:val="24"/>
        </w:rPr>
        <w:t>Supreme Court of Colorado case. T</w:t>
      </w:r>
      <w:r w:rsidRPr="0017521B">
        <w:rPr>
          <w:sz w:val="24"/>
          <w:szCs w:val="24"/>
        </w:rPr>
        <w:t>he statute authorizing an expert witness for an indigent parent “is part of the complex statutory scheme designed to accord fundamental fairness to all parties in parental rights termination proceedings”</w:t>
      </w:r>
      <w:r w:rsidR="0030202A">
        <w:rPr>
          <w:sz w:val="24"/>
          <w:szCs w:val="24"/>
        </w:rPr>
        <w:t>)</w:t>
      </w:r>
    </w:p>
    <w:p w14:paraId="4028BCA5" w14:textId="77777777" w:rsidR="00FD20A4" w:rsidRPr="00FD20A4" w:rsidRDefault="00FD20A4" w:rsidP="00FD20A4">
      <w:pPr>
        <w:pStyle w:val="NoSpacing"/>
      </w:pPr>
    </w:p>
    <w:p w14:paraId="1244FFFD" w14:textId="77777777" w:rsidR="00410A0A" w:rsidRPr="001E48DD" w:rsidRDefault="00410A0A" w:rsidP="00FD20A4">
      <w:pPr>
        <w:pStyle w:val="NoSpacing"/>
        <w:rPr>
          <w:b/>
          <w:bCs/>
          <w:i/>
          <w:iCs/>
          <w:sz w:val="24"/>
          <w:szCs w:val="24"/>
        </w:rPr>
      </w:pPr>
      <w:r w:rsidRPr="001E48DD">
        <w:rPr>
          <w:b/>
          <w:bCs/>
          <w:i/>
          <w:iCs/>
          <w:sz w:val="24"/>
          <w:szCs w:val="24"/>
        </w:rPr>
        <w:t>See also:</w:t>
      </w:r>
    </w:p>
    <w:p w14:paraId="7C1D3990" w14:textId="77777777" w:rsidR="00410A0A" w:rsidRPr="00FD20A4" w:rsidRDefault="00410A0A" w:rsidP="00FD20A4">
      <w:pPr>
        <w:pStyle w:val="NoSpacing"/>
      </w:pPr>
    </w:p>
    <w:p w14:paraId="08365369" w14:textId="77777777" w:rsidR="00410A0A" w:rsidRPr="00FD20A4" w:rsidRDefault="00410A0A" w:rsidP="00FD20A4">
      <w:pPr>
        <w:pStyle w:val="NoSpacing"/>
      </w:pPr>
      <w:r w:rsidRPr="00FD20A4">
        <w:t>Rule 11(11) of Civil Procedure requires parties to list experts and attach a CV in their pretrial litigation, delineating issues to which the expert will testify.  However, rules of procedure should give way to fairness and an opportunity to be heard and rebut evidence against you.  You have a right to present expert evidence.  If there is no prejudice to the other parties, the expert should be permitted to testify.</w:t>
      </w:r>
    </w:p>
    <w:sectPr w:rsidR="00410A0A" w:rsidRPr="00FD20A4" w:rsidSect="006F1085">
      <w:pgSz w:w="12240" w:h="15840" w:code="1"/>
      <w:pgMar w:top="1440" w:right="1440" w:bottom="1440" w:left="1440" w:header="720" w:footer="720" w:gutter="0"/>
      <w:paperSrc w:first="260" w:other="26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0961"/>
    <w:multiLevelType w:val="hybridMultilevel"/>
    <w:tmpl w:val="F80C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137D7"/>
    <w:multiLevelType w:val="hybridMultilevel"/>
    <w:tmpl w:val="E72A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DF"/>
    <w:rsid w:val="00005075"/>
    <w:rsid w:val="0017521B"/>
    <w:rsid w:val="00195FBE"/>
    <w:rsid w:val="001C6F9F"/>
    <w:rsid w:val="001E48DD"/>
    <w:rsid w:val="002A2810"/>
    <w:rsid w:val="0030202A"/>
    <w:rsid w:val="003C61A5"/>
    <w:rsid w:val="00410A0A"/>
    <w:rsid w:val="005F0257"/>
    <w:rsid w:val="006772F8"/>
    <w:rsid w:val="006F1085"/>
    <w:rsid w:val="007A141E"/>
    <w:rsid w:val="007E1C53"/>
    <w:rsid w:val="00887ADF"/>
    <w:rsid w:val="008B4204"/>
    <w:rsid w:val="008E452E"/>
    <w:rsid w:val="00923B3C"/>
    <w:rsid w:val="009B41C1"/>
    <w:rsid w:val="00A70DCF"/>
    <w:rsid w:val="00AE1F6B"/>
    <w:rsid w:val="00B53305"/>
    <w:rsid w:val="00BB5FA7"/>
    <w:rsid w:val="00C002E1"/>
    <w:rsid w:val="00C95253"/>
    <w:rsid w:val="00D43949"/>
    <w:rsid w:val="00E51636"/>
    <w:rsid w:val="00F930DB"/>
    <w:rsid w:val="00F9455E"/>
    <w:rsid w:val="00FD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3D49"/>
  <w15:docId w15:val="{C1822658-162E-4C2A-B2E1-33A68F89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DF"/>
    <w:pPr>
      <w:spacing w:after="0" w:line="240" w:lineRule="auto"/>
    </w:pPr>
    <w:rPr>
      <w:rFonts w:ascii="Tw Cen MT" w:eastAsia="Tw Cen MT" w:hAnsi="Tw Cen MT" w:cs="Times New Roman"/>
      <w:kern w:val="2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02A"/>
    <w:rPr>
      <w:rFonts w:ascii="Segoe UI" w:eastAsia="Tw Cen MT" w:hAnsi="Segoe UI" w:cs="Segoe UI"/>
      <w:kern w:val="24"/>
      <w:sz w:val="18"/>
      <w:szCs w:val="18"/>
    </w:rPr>
  </w:style>
  <w:style w:type="paragraph" w:styleId="ListParagraph">
    <w:name w:val="List Paragraph"/>
    <w:basedOn w:val="Normal"/>
    <w:uiPriority w:val="34"/>
    <w:qFormat/>
    <w:rsid w:val="00410A0A"/>
    <w:pPr>
      <w:ind w:left="720"/>
      <w:contextualSpacing/>
    </w:pPr>
    <w:rPr>
      <w:rFonts w:ascii="Arial" w:eastAsiaTheme="minorHAnsi" w:hAnsi="Arial" w:cs="Arial"/>
      <w:color w:val="000000"/>
      <w:kern w:val="0"/>
      <w:sz w:val="24"/>
      <w:szCs w:val="24"/>
    </w:rPr>
  </w:style>
  <w:style w:type="character" w:styleId="CommentReference">
    <w:name w:val="annotation reference"/>
    <w:basedOn w:val="DefaultParagraphFont"/>
    <w:uiPriority w:val="99"/>
    <w:semiHidden/>
    <w:unhideWhenUsed/>
    <w:rsid w:val="00410A0A"/>
    <w:rPr>
      <w:sz w:val="16"/>
      <w:szCs w:val="16"/>
    </w:rPr>
  </w:style>
  <w:style w:type="paragraph" w:styleId="CommentText">
    <w:name w:val="annotation text"/>
    <w:basedOn w:val="Normal"/>
    <w:link w:val="CommentTextChar"/>
    <w:uiPriority w:val="99"/>
    <w:unhideWhenUsed/>
    <w:rsid w:val="00410A0A"/>
    <w:rPr>
      <w:rFonts w:ascii="Arial" w:eastAsiaTheme="minorHAnsi" w:hAnsi="Arial" w:cs="Arial"/>
      <w:color w:val="000000"/>
      <w:kern w:val="0"/>
      <w:sz w:val="20"/>
      <w:szCs w:val="20"/>
    </w:rPr>
  </w:style>
  <w:style w:type="character" w:customStyle="1" w:styleId="CommentTextChar">
    <w:name w:val="Comment Text Char"/>
    <w:basedOn w:val="DefaultParagraphFont"/>
    <w:link w:val="CommentText"/>
    <w:uiPriority w:val="99"/>
    <w:rsid w:val="00410A0A"/>
    <w:rPr>
      <w:rFonts w:ascii="Arial" w:hAnsi="Arial" w:cs="Arial"/>
      <w:color w:val="000000"/>
      <w:sz w:val="20"/>
      <w:szCs w:val="20"/>
    </w:rPr>
  </w:style>
  <w:style w:type="paragraph" w:styleId="NoSpacing">
    <w:name w:val="No Spacing"/>
    <w:uiPriority w:val="1"/>
    <w:qFormat/>
    <w:rsid w:val="00FD20A4"/>
    <w:pPr>
      <w:spacing w:after="0" w:line="240" w:lineRule="auto"/>
    </w:pPr>
    <w:rPr>
      <w:rFonts w:ascii="Tw Cen MT" w:eastAsia="Tw Cen MT" w:hAnsi="Tw Cen MT" w:cs="Times New Roman"/>
      <w:kern w:val="24"/>
      <w:sz w:val="23"/>
      <w:szCs w:val="23"/>
    </w:rPr>
  </w:style>
  <w:style w:type="paragraph" w:styleId="CommentSubject">
    <w:name w:val="annotation subject"/>
    <w:basedOn w:val="CommentText"/>
    <w:next w:val="CommentText"/>
    <w:link w:val="CommentSubjectChar"/>
    <w:uiPriority w:val="99"/>
    <w:semiHidden/>
    <w:unhideWhenUsed/>
    <w:rsid w:val="00F9455E"/>
    <w:rPr>
      <w:rFonts w:ascii="Tw Cen MT" w:eastAsia="Tw Cen MT" w:hAnsi="Tw Cen MT" w:cs="Times New Roman"/>
      <w:b/>
      <w:bCs/>
      <w:color w:val="auto"/>
      <w:kern w:val="24"/>
    </w:rPr>
  </w:style>
  <w:style w:type="character" w:customStyle="1" w:styleId="CommentSubjectChar">
    <w:name w:val="Comment Subject Char"/>
    <w:basedOn w:val="CommentTextChar"/>
    <w:link w:val="CommentSubject"/>
    <w:uiPriority w:val="99"/>
    <w:semiHidden/>
    <w:rsid w:val="00F9455E"/>
    <w:rPr>
      <w:rFonts w:ascii="Tw Cen MT" w:eastAsia="Tw Cen MT" w:hAnsi="Tw Cen MT" w:cs="Times New Roman"/>
      <w:b/>
      <w:bCs/>
      <w:color w:val="000000"/>
      <w:kern w:val="24"/>
      <w:sz w:val="20"/>
      <w:szCs w:val="20"/>
    </w:rPr>
  </w:style>
  <w:style w:type="character" w:styleId="Emphasis">
    <w:name w:val="Emphasis"/>
    <w:basedOn w:val="DefaultParagraphFont"/>
    <w:uiPriority w:val="20"/>
    <w:qFormat/>
    <w:rsid w:val="00E51636"/>
    <w:rPr>
      <w:i/>
      <w:iCs/>
    </w:rPr>
  </w:style>
  <w:style w:type="character" w:styleId="Hyperlink">
    <w:name w:val="Hyperlink"/>
    <w:basedOn w:val="DefaultParagraphFont"/>
    <w:uiPriority w:val="99"/>
    <w:semiHidden/>
    <w:unhideWhenUsed/>
    <w:rsid w:val="00E51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next.westlaw.com/Link/Document/FullText?findType=L&amp;pubNum=1005735&amp;cite=MASTRCPR26&amp;originatingDoc=I31ac80c657c511e5b86bd602cb8781fa&amp;refType=LQ&amp;originationContext=document&amp;transitionType=DocumentItem&amp;contextData=(sc.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1052</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LoPresti</dc:creator>
  <cp:lastModifiedBy>Sarah LoPresti</cp:lastModifiedBy>
  <cp:revision>15</cp:revision>
  <dcterms:created xsi:type="dcterms:W3CDTF">2020-05-27T17:16:00Z</dcterms:created>
  <dcterms:modified xsi:type="dcterms:W3CDTF">2020-12-21T15:29:00Z</dcterms:modified>
</cp:coreProperties>
</file>