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33" w:rsidRDefault="00E30233" w:rsidP="00E30233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>Memorandum</w:t>
      </w:r>
    </w:p>
    <w:p w:rsidR="00E30233" w:rsidRDefault="00E30233" w:rsidP="00E30233">
      <w:pPr>
        <w:rPr>
          <w:b/>
          <w:bCs/>
        </w:rPr>
      </w:pPr>
    </w:p>
    <w:p w:rsidR="00E30233" w:rsidRDefault="00E30233" w:rsidP="00E30233">
      <w:pPr>
        <w:rPr>
          <w:b/>
          <w:bCs/>
        </w:rPr>
      </w:pPr>
      <w:r>
        <w:rPr>
          <w:b/>
          <w:bCs/>
        </w:rPr>
        <w:t>To:</w:t>
      </w:r>
      <w:r>
        <w:rPr>
          <w:b/>
          <w:bCs/>
        </w:rPr>
        <w:tab/>
        <w:t>Due Process Issue Bank</w:t>
      </w:r>
    </w:p>
    <w:p w:rsidR="00E30233" w:rsidRDefault="00E30233" w:rsidP="00E30233">
      <w:pPr>
        <w:rPr>
          <w:b/>
          <w:bCs/>
        </w:rPr>
      </w:pPr>
      <w:r>
        <w:rPr>
          <w:b/>
          <w:bCs/>
        </w:rPr>
        <w:t>Fr:</w:t>
      </w:r>
      <w:r>
        <w:rPr>
          <w:b/>
          <w:bCs/>
        </w:rPr>
        <w:tab/>
        <w:t>CAFL Administration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30233" w:rsidRDefault="00E30233" w:rsidP="00E30233">
      <w:pPr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Right to Counsel – IAC – Failure to Introduce or Object to Evidence</w:t>
      </w:r>
    </w:p>
    <w:p w:rsidR="00E30233" w:rsidRDefault="00E30233" w:rsidP="00E30233">
      <w:pPr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December 21, 2016</w:t>
      </w:r>
      <w:r>
        <w:rPr>
          <w:b/>
          <w:bCs/>
        </w:rPr>
        <w:tab/>
      </w:r>
      <w:r>
        <w:rPr>
          <w:b/>
          <w:bCs/>
        </w:rPr>
        <w:tab/>
      </w:r>
    </w:p>
    <w:p w:rsidR="00E30233" w:rsidRDefault="00E30233" w:rsidP="00E30233">
      <w:r>
        <w:rPr>
          <w:b/>
          <w:bCs/>
        </w:rPr>
        <w:t>________________________________________________________________________</w:t>
      </w:r>
    </w:p>
    <w:p w:rsidR="00E30233" w:rsidRDefault="00E30233" w:rsidP="00E30233"/>
    <w:p w:rsidR="00E30233" w:rsidRDefault="00E30233" w:rsidP="00E30233">
      <w:r>
        <w:t xml:space="preserve">Several cases hold that counsel is ineffective (technically, that counsel’s performance falls measurably below that of a reasonable fallible attorney, the first prong of </w:t>
      </w:r>
      <w:r w:rsidRPr="00AE34EE">
        <w:rPr>
          <w:u w:val="single"/>
        </w:rPr>
        <w:t>Strickland</w:t>
      </w:r>
      <w:r>
        <w:t>/</w:t>
      </w:r>
      <w:proofErr w:type="spellStart"/>
      <w:r w:rsidRPr="00AE34EE">
        <w:rPr>
          <w:u w:val="single"/>
        </w:rPr>
        <w:t>Saferian</w:t>
      </w:r>
      <w:proofErr w:type="spellEnd"/>
      <w:r>
        <w:t>) if she fails to introduce relevant evidence or object to clearly inadmissible evidence.  Those cases include:</w:t>
      </w:r>
    </w:p>
    <w:p w:rsidR="00A93D29" w:rsidRDefault="00A93D29"/>
    <w:p w:rsidR="00780B17" w:rsidRDefault="00780B17">
      <w:pPr>
        <w:rPr>
          <w:u w:val="single"/>
        </w:rPr>
      </w:pPr>
    </w:p>
    <w:p w:rsidR="00E30233" w:rsidRDefault="00BD4F36">
      <w:bookmarkStart w:id="0" w:name="_GoBack"/>
      <w:bookmarkEnd w:id="0"/>
      <w:r w:rsidRPr="00BD4F36">
        <w:rPr>
          <w:u w:val="single"/>
        </w:rPr>
        <w:t xml:space="preserve">Commonwealth v. </w:t>
      </w:r>
      <w:proofErr w:type="spellStart"/>
      <w:r w:rsidRPr="00BD4F36">
        <w:rPr>
          <w:u w:val="single"/>
        </w:rPr>
        <w:t>Salyer</w:t>
      </w:r>
      <w:proofErr w:type="spellEnd"/>
      <w:r>
        <w:t xml:space="preserve">, 84 Mass. App. Ct. 346, 354-55 (2013) (defense counsel ineffective because she failed to object to admission of </w:t>
      </w:r>
      <w:r w:rsidR="00E1657C">
        <w:t xml:space="preserve">prejudicial </w:t>
      </w:r>
      <w:r>
        <w:t xml:space="preserve">statements clearly covered by spousal disqualification – although she had made many other appropriate objections – </w:t>
      </w:r>
      <w:r w:rsidR="00E1657C">
        <w:t xml:space="preserve">and she </w:t>
      </w:r>
      <w:r>
        <w:t>had no sound strategic basis</w:t>
      </w:r>
      <w:r w:rsidR="00E1657C">
        <w:t xml:space="preserve"> for the failure to object).</w:t>
      </w:r>
    </w:p>
    <w:p w:rsidR="00E1657C" w:rsidRDefault="00E1657C"/>
    <w:p w:rsidR="00E1657C" w:rsidRDefault="00E1657C">
      <w:r w:rsidRPr="00516608">
        <w:rPr>
          <w:u w:val="single"/>
        </w:rPr>
        <w:t xml:space="preserve">Commonwealth v. </w:t>
      </w:r>
      <w:proofErr w:type="spellStart"/>
      <w:r w:rsidRPr="00516608">
        <w:rPr>
          <w:u w:val="single"/>
        </w:rPr>
        <w:t>Sepheus</w:t>
      </w:r>
      <w:proofErr w:type="spellEnd"/>
      <w:r>
        <w:t>, 468 Mass. 160, 170 (2014) (</w:t>
      </w:r>
      <w:r w:rsidR="00516608">
        <w:t>defense counsel ineffective because he asked detective to express views on defendant’s guilt and failed to move to strike detective’s non-responsive answer, which would have been allowed; this “invited” testimony provided link to element of offense, and defense counsel had no reasonable strategic reason for his actions.)</w:t>
      </w:r>
    </w:p>
    <w:p w:rsidR="00BF6ECA" w:rsidRDefault="00BF6ECA"/>
    <w:p w:rsidR="00BF6ECA" w:rsidRDefault="00BF6ECA">
      <w:r w:rsidRPr="00EB5E85">
        <w:rPr>
          <w:u w:val="single"/>
        </w:rPr>
        <w:t xml:space="preserve">Commonwealth v. </w:t>
      </w:r>
      <w:proofErr w:type="spellStart"/>
      <w:r w:rsidRPr="00EB5E85">
        <w:rPr>
          <w:u w:val="single"/>
        </w:rPr>
        <w:t>Sugrue</w:t>
      </w:r>
      <w:proofErr w:type="spellEnd"/>
      <w:r>
        <w:t>, 34 Mass. App. Ct. 172, 173-74 (1993) (failure to object to highly prejudicial</w:t>
      </w:r>
      <w:r w:rsidR="00EB5E85">
        <w:t xml:space="preserve"> and inadmissible fresh complaint</w:t>
      </w:r>
      <w:r>
        <w:t xml:space="preserve"> testimony constitutes ineffective assistance)</w:t>
      </w:r>
    </w:p>
    <w:p w:rsidR="00BF6ECA" w:rsidRDefault="00BF6ECA"/>
    <w:p w:rsidR="00BF6ECA" w:rsidRDefault="00BF6ECA">
      <w:r w:rsidRPr="00EB5E85">
        <w:rPr>
          <w:u w:val="single"/>
        </w:rPr>
        <w:t xml:space="preserve">Commonwealth v. </w:t>
      </w:r>
      <w:proofErr w:type="spellStart"/>
      <w:r w:rsidRPr="00EB5E85">
        <w:rPr>
          <w:u w:val="single"/>
        </w:rPr>
        <w:t>Frisino</w:t>
      </w:r>
      <w:proofErr w:type="spellEnd"/>
      <w:r>
        <w:t>, 21 Mass. App. Ct. 551 (1986) (failure to object to clearly inadmissible testimony and documents is ineffective assistance)</w:t>
      </w:r>
    </w:p>
    <w:p w:rsidR="00BF6ECA" w:rsidRDefault="00BF6ECA"/>
    <w:p w:rsidR="00BF6ECA" w:rsidRDefault="00EB5E85">
      <w:r w:rsidRPr="00EB5E85">
        <w:rPr>
          <w:u w:val="single"/>
        </w:rPr>
        <w:t>Commonwealth v. Peters</w:t>
      </w:r>
      <w:r>
        <w:t>, 429 Mass. 22 (1999) (defense counsel’s failure to object to clearly inadmissible fresh complaint testimony, together with her “inept” cross-examination that elicited and opened the door to other inadmissible testimony constituted ineffective assistance)</w:t>
      </w:r>
    </w:p>
    <w:p w:rsidR="000523D3" w:rsidRDefault="000523D3"/>
    <w:p w:rsidR="000523D3" w:rsidRDefault="000523D3">
      <w:r w:rsidRPr="000523D3">
        <w:rPr>
          <w:u w:val="single"/>
        </w:rPr>
        <w:t>Commonwealth v. Whyte</w:t>
      </w:r>
      <w:r>
        <w:t>, 43 Mass. App. Ct. 920, 920 (1997) (defense counsel’s failure to object to inadmissible hearsay was ineffective; “</w:t>
      </w:r>
      <w:r>
        <w:t xml:space="preserve">Defense counsel later stated on the record that it was part of her trial strategy not to object </w:t>
      </w:r>
      <w:proofErr w:type="gramStart"/>
      <w:r>
        <w:t>to</w:t>
      </w:r>
      <w:proofErr w:type="gramEnd"/>
      <w:r>
        <w:t xml:space="preserve"> much of the hearsay testimony previously elicited. We think that if that was her intention, then defense counsel</w:t>
      </w:r>
      <w:r>
        <w:t xml:space="preserve">’s judgment was </w:t>
      </w:r>
      <w:r>
        <w:t>so manifestly unreasonable as to b</w:t>
      </w:r>
      <w:r>
        <w:t xml:space="preserve">e unprotected by the labels of </w:t>
      </w:r>
      <w:r>
        <w:t>trial strategy’ or ‘trial tactics.’</w:t>
      </w:r>
      <w:r>
        <w:t>)</w:t>
      </w:r>
    </w:p>
    <w:sectPr w:rsidR="00052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3"/>
    <w:rsid w:val="000523D3"/>
    <w:rsid w:val="0030054B"/>
    <w:rsid w:val="00473C4F"/>
    <w:rsid w:val="00516608"/>
    <w:rsid w:val="00780B17"/>
    <w:rsid w:val="00A93D29"/>
    <w:rsid w:val="00BD4F36"/>
    <w:rsid w:val="00BF6ECA"/>
    <w:rsid w:val="00E1657C"/>
    <w:rsid w:val="00E30233"/>
    <w:rsid w:val="00E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Cohen</dc:creator>
  <cp:lastModifiedBy>Andrew Cohen</cp:lastModifiedBy>
  <cp:revision>3</cp:revision>
  <dcterms:created xsi:type="dcterms:W3CDTF">2016-12-21T19:20:00Z</dcterms:created>
  <dcterms:modified xsi:type="dcterms:W3CDTF">2016-12-23T19:00:00Z</dcterms:modified>
</cp:coreProperties>
</file>