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A669" w14:textId="77777777" w:rsidR="004A4534" w:rsidRPr="00B7739A" w:rsidRDefault="004A4534" w:rsidP="004A4534">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14BF32C3" w14:textId="781AF97B" w:rsidR="00CA05E3" w:rsidRPr="00724F51" w:rsidRDefault="00CA05E3" w:rsidP="00CA05E3">
      <w:pPr>
        <w:jc w:val="center"/>
        <w:rPr>
          <w:rFonts w:ascii="Times New Roman" w:eastAsia="Times New Roman" w:hAnsi="Times New Roman" w:cs="Times New Roman"/>
          <w:b/>
          <w:smallCaps/>
          <w:sz w:val="28"/>
          <w:szCs w:val="28"/>
          <w:shd w:val="clear" w:color="auto" w:fill="FFFFFF"/>
        </w:rPr>
      </w:pPr>
      <w:r w:rsidRPr="00724F51">
        <w:rPr>
          <w:rFonts w:ascii="Times New Roman" w:eastAsia="Times New Roman" w:hAnsi="Times New Roman" w:cs="Times New Roman"/>
          <w:b/>
          <w:smallCaps/>
          <w:sz w:val="28"/>
          <w:szCs w:val="28"/>
          <w:shd w:val="clear" w:color="auto" w:fill="FFFFFF"/>
        </w:rPr>
        <w:t>Memorandum</w:t>
      </w:r>
    </w:p>
    <w:p w14:paraId="060B1D23" w14:textId="48914514" w:rsidR="00CA05E3" w:rsidRPr="00724F51" w:rsidRDefault="00CA05E3" w:rsidP="00CA05E3">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TO:</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4A4534">
        <w:rPr>
          <w:rFonts w:ascii="Times New Roman" w:eastAsia="Times New Roman" w:hAnsi="Times New Roman" w:cs="Times New Roman"/>
          <w:shd w:val="clear" w:color="auto" w:fill="FFFFFF"/>
        </w:rPr>
        <w:t>CAFL Appellate Panel Support Unit</w:t>
      </w:r>
    </w:p>
    <w:p w14:paraId="73698753" w14:textId="70C6046E" w:rsidR="00CA05E3" w:rsidRPr="00724F51" w:rsidRDefault="00CA05E3" w:rsidP="00CA05E3">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FROM:</w:t>
      </w:r>
      <w:r w:rsidRPr="00724F51">
        <w:rPr>
          <w:rFonts w:ascii="Times New Roman" w:eastAsia="Times New Roman" w:hAnsi="Times New Roman" w:cs="Times New Roman"/>
          <w:shd w:val="clear" w:color="auto" w:fill="FFFFFF"/>
        </w:rPr>
        <w:tab/>
      </w:r>
      <w:r w:rsidR="004A4534">
        <w:rPr>
          <w:rFonts w:ascii="Times New Roman" w:eastAsia="Times New Roman" w:hAnsi="Times New Roman" w:cs="Times New Roman"/>
          <w:shd w:val="clear" w:color="auto" w:fill="FFFFFF"/>
        </w:rPr>
        <w:t>Law Student Intern (EdC)</w:t>
      </w:r>
    </w:p>
    <w:p w14:paraId="32798386" w14:textId="1F9F812A" w:rsidR="00CA05E3" w:rsidRPr="00724F51" w:rsidRDefault="00CA05E3" w:rsidP="00CA05E3">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DATE: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June</w:t>
      </w:r>
      <w:r w:rsidR="004A4534">
        <w:rPr>
          <w:rFonts w:ascii="Times New Roman" w:eastAsia="Times New Roman" w:hAnsi="Times New Roman" w:cs="Times New Roman"/>
          <w:shd w:val="clear" w:color="auto" w:fill="FFFFFF"/>
        </w:rPr>
        <w:t>,</w:t>
      </w:r>
      <w:r w:rsidRPr="00724F51">
        <w:rPr>
          <w:rFonts w:ascii="Times New Roman" w:eastAsia="Times New Roman" w:hAnsi="Times New Roman" w:cs="Times New Roman"/>
          <w:shd w:val="clear" w:color="auto" w:fill="FFFFFF"/>
        </w:rPr>
        <w:t xml:space="preserve"> 2020</w:t>
      </w:r>
    </w:p>
    <w:p w14:paraId="7AB775A1" w14:textId="42C045A6" w:rsidR="00CA05E3" w:rsidRDefault="00CA05E3" w:rsidP="00CA05E3">
      <w:pPr>
        <w:pBdr>
          <w:bottom w:val="single" w:sz="12" w:space="1" w:color="auto"/>
        </w:pBd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RE: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Due Process</w:t>
      </w:r>
      <w:r>
        <w:rPr>
          <w:rFonts w:ascii="Times New Roman" w:eastAsia="Times New Roman" w:hAnsi="Times New Roman" w:cs="Times New Roman"/>
          <w:shd w:val="clear" w:color="auto" w:fill="FFFFFF"/>
        </w:rPr>
        <w:t>—Right to Testify, Present Evidence, and Cross-Examine Witnesses</w:t>
      </w:r>
    </w:p>
    <w:p w14:paraId="653CC9FB" w14:textId="77777777" w:rsidR="004A4534" w:rsidRPr="00724F51" w:rsidRDefault="004A4534" w:rsidP="00CA05E3">
      <w:pPr>
        <w:pBdr>
          <w:bottom w:val="single" w:sz="12" w:space="1" w:color="auto"/>
        </w:pBdr>
        <w:spacing w:line="240" w:lineRule="auto"/>
        <w:rPr>
          <w:rFonts w:ascii="Times New Roman" w:eastAsia="Times New Roman" w:hAnsi="Times New Roman" w:cs="Times New Roman"/>
          <w:shd w:val="clear" w:color="auto" w:fill="FFFFFF"/>
        </w:rPr>
      </w:pPr>
      <w:bookmarkStart w:id="0" w:name="_GoBack"/>
      <w:bookmarkEnd w:id="0"/>
    </w:p>
    <w:p w14:paraId="6B28AC67" w14:textId="77777777" w:rsidR="00CA05E3" w:rsidRPr="00CA05E3" w:rsidRDefault="00CA05E3" w:rsidP="00CA05E3">
      <w:pPr>
        <w:jc w:val="center"/>
        <w:rPr>
          <w:rFonts w:ascii="Times New Roman" w:eastAsia="Times New Roman" w:hAnsi="Times New Roman" w:cs="Times New Roman"/>
          <w:b/>
          <w:bCs/>
          <w:u w:val="single"/>
          <w:shd w:val="clear" w:color="auto" w:fill="FFFFFF"/>
        </w:rPr>
      </w:pPr>
      <w:r w:rsidRPr="00CA05E3">
        <w:rPr>
          <w:rFonts w:ascii="Times New Roman" w:eastAsia="Times New Roman" w:hAnsi="Times New Roman" w:cs="Times New Roman"/>
          <w:b/>
          <w:bCs/>
          <w:u w:val="single"/>
          <w:shd w:val="clear" w:color="auto" w:fill="FFFFFF"/>
        </w:rPr>
        <w:t>QUESTIONS PRESENTED</w:t>
      </w:r>
    </w:p>
    <w:p w14:paraId="1332B45E" w14:textId="1BD4DD0C" w:rsidR="00523FDA" w:rsidRDefault="00CA05E3" w:rsidP="00892CEE">
      <w:pPr>
        <w:pStyle w:val="NoSpacing"/>
        <w:spacing w:line="480" w:lineRule="auto"/>
        <w:jc w:val="both"/>
        <w:rPr>
          <w:rFonts w:ascii="Times New Roman" w:hAnsi="Times New Roman" w:cs="Times New Roman"/>
        </w:rPr>
      </w:pPr>
      <w:r>
        <w:tab/>
      </w:r>
      <w:r>
        <w:rPr>
          <w:rFonts w:ascii="Times New Roman" w:hAnsi="Times New Roman" w:cs="Times New Roman"/>
        </w:rPr>
        <w:t xml:space="preserve">What are the due process rights of parents involved in </w:t>
      </w:r>
      <w:r w:rsidR="00594333">
        <w:rPr>
          <w:rFonts w:ascii="Times New Roman" w:hAnsi="Times New Roman" w:cs="Times New Roman"/>
        </w:rPr>
        <w:t xml:space="preserve">child welfare proceedings </w:t>
      </w:r>
      <w:r w:rsidR="005B41A1">
        <w:rPr>
          <w:rFonts w:ascii="Times New Roman" w:hAnsi="Times New Roman" w:cs="Times New Roman"/>
        </w:rPr>
        <w:t xml:space="preserve">to testify, present evidence, and cross-examine witnesses? </w:t>
      </w:r>
      <w:r w:rsidR="008D3EF4">
        <w:rPr>
          <w:rFonts w:ascii="Times New Roman" w:hAnsi="Times New Roman" w:cs="Times New Roman"/>
        </w:rPr>
        <w:t xml:space="preserve">Which of these rights is subject to the judge’s discretion and by what determination? </w:t>
      </w:r>
      <w:r w:rsidR="00523FDA">
        <w:rPr>
          <w:rFonts w:ascii="Times New Roman" w:hAnsi="Times New Roman" w:cs="Times New Roman"/>
        </w:rPr>
        <w:t>This three-part question will be explored by analyzing three cases</w:t>
      </w:r>
      <w:r w:rsidR="00463F15">
        <w:rPr>
          <w:rFonts w:ascii="Times New Roman" w:hAnsi="Times New Roman" w:cs="Times New Roman"/>
        </w:rPr>
        <w:t xml:space="preserve">: </w:t>
      </w:r>
      <w:r w:rsidR="00463F15">
        <w:rPr>
          <w:rFonts w:ascii="Times New Roman" w:hAnsi="Times New Roman" w:cs="Times New Roman"/>
          <w:i/>
          <w:iCs/>
        </w:rPr>
        <w:t xml:space="preserve">In re Daniella G. </w:t>
      </w:r>
      <w:r w:rsidR="00463F15">
        <w:rPr>
          <w:rFonts w:ascii="Times New Roman" w:hAnsi="Times New Roman" w:cs="Times New Roman"/>
        </w:rPr>
        <w:t xml:space="preserve">(2018), </w:t>
      </w:r>
      <w:r w:rsidR="00463F15">
        <w:rPr>
          <w:rFonts w:ascii="Times New Roman" w:hAnsi="Times New Roman" w:cs="Times New Roman"/>
          <w:i/>
          <w:iCs/>
        </w:rPr>
        <w:t xml:space="preserve">Morgan v. Getter </w:t>
      </w:r>
      <w:r w:rsidR="00463F15">
        <w:rPr>
          <w:rFonts w:ascii="Times New Roman" w:hAnsi="Times New Roman" w:cs="Times New Roman"/>
        </w:rPr>
        <w:t xml:space="preserve">(2014), and </w:t>
      </w:r>
      <w:r w:rsidR="00463F15">
        <w:rPr>
          <w:rFonts w:ascii="Times New Roman" w:hAnsi="Times New Roman" w:cs="Times New Roman"/>
          <w:i/>
          <w:iCs/>
        </w:rPr>
        <w:t xml:space="preserve">C.O. v. M.M. </w:t>
      </w:r>
      <w:r w:rsidR="00463F15">
        <w:rPr>
          <w:rFonts w:ascii="Times New Roman" w:hAnsi="Times New Roman" w:cs="Times New Roman"/>
        </w:rPr>
        <w:t xml:space="preserve">(2004). </w:t>
      </w:r>
    </w:p>
    <w:p w14:paraId="3DBF09E6" w14:textId="05841B50" w:rsidR="00523FDA" w:rsidRDefault="00523FDA" w:rsidP="00523FDA">
      <w:pPr>
        <w:pStyle w:val="NoSpacing"/>
        <w:jc w:val="center"/>
        <w:rPr>
          <w:rFonts w:ascii="Times New Roman" w:hAnsi="Times New Roman" w:cs="Times New Roman"/>
          <w:b/>
          <w:bCs/>
          <w:u w:val="single"/>
        </w:rPr>
      </w:pPr>
      <w:r>
        <w:rPr>
          <w:rFonts w:ascii="Times New Roman" w:hAnsi="Times New Roman" w:cs="Times New Roman"/>
          <w:b/>
          <w:bCs/>
          <w:u w:val="single"/>
        </w:rPr>
        <w:t>BRIEF ANSWER</w:t>
      </w:r>
      <w:r w:rsidR="00D20CA7">
        <w:rPr>
          <w:rFonts w:ascii="Times New Roman" w:hAnsi="Times New Roman" w:cs="Times New Roman"/>
          <w:b/>
          <w:bCs/>
          <w:u w:val="single"/>
        </w:rPr>
        <w:t>S</w:t>
      </w:r>
    </w:p>
    <w:p w14:paraId="12BFBA38" w14:textId="6057B7FB" w:rsidR="000A2310" w:rsidRDefault="000A2310" w:rsidP="00523FDA">
      <w:pPr>
        <w:pStyle w:val="NoSpacing"/>
        <w:jc w:val="center"/>
        <w:rPr>
          <w:rFonts w:ascii="Times New Roman" w:hAnsi="Times New Roman" w:cs="Times New Roman"/>
          <w:b/>
          <w:bCs/>
          <w:u w:val="single"/>
        </w:rPr>
      </w:pPr>
    </w:p>
    <w:p w14:paraId="2039F685" w14:textId="59275F7A" w:rsidR="000A2310" w:rsidRPr="00C5382B" w:rsidRDefault="00594333" w:rsidP="005B59A7">
      <w:pPr>
        <w:pStyle w:val="NoSpacing"/>
        <w:numPr>
          <w:ilvl w:val="0"/>
          <w:numId w:val="1"/>
        </w:numPr>
        <w:spacing w:line="480" w:lineRule="auto"/>
        <w:jc w:val="both"/>
        <w:rPr>
          <w:rFonts w:ascii="Times New Roman" w:hAnsi="Times New Roman" w:cs="Times New Roman"/>
          <w:b/>
          <w:bCs/>
          <w:u w:val="single"/>
        </w:rPr>
      </w:pPr>
      <w:r>
        <w:rPr>
          <w:rFonts w:ascii="Times New Roman" w:hAnsi="Times New Roman" w:cs="Times New Roman"/>
        </w:rPr>
        <w:t>T</w:t>
      </w:r>
      <w:r w:rsidR="005B59A7">
        <w:rPr>
          <w:rFonts w:ascii="Times New Roman" w:hAnsi="Times New Roman" w:cs="Times New Roman"/>
        </w:rPr>
        <w:t>he right to testify is a part of the due process right to “a meaningful opportunity to be heard.”</w:t>
      </w:r>
      <w:r>
        <w:rPr>
          <w:rFonts w:ascii="Times New Roman" w:hAnsi="Times New Roman" w:cs="Times New Roman"/>
        </w:rPr>
        <w:t xml:space="preserve"> T</w:t>
      </w:r>
      <w:r w:rsidR="005B59A7">
        <w:rPr>
          <w:rFonts w:ascii="Times New Roman" w:hAnsi="Times New Roman" w:cs="Times New Roman"/>
        </w:rPr>
        <w:t>he judge’s discretion is not absolute</w:t>
      </w:r>
      <w:r>
        <w:rPr>
          <w:rFonts w:ascii="Times New Roman" w:hAnsi="Times New Roman" w:cs="Times New Roman"/>
        </w:rPr>
        <w:t>;</w:t>
      </w:r>
      <w:r w:rsidR="005B59A7">
        <w:rPr>
          <w:rFonts w:ascii="Times New Roman" w:hAnsi="Times New Roman" w:cs="Times New Roman"/>
        </w:rPr>
        <w:t xml:space="preserve"> testimony can be blocked for certain reasons. For example, </w:t>
      </w:r>
      <w:r w:rsidR="00D20CA7">
        <w:rPr>
          <w:rFonts w:ascii="Times New Roman" w:hAnsi="Times New Roman" w:cs="Times New Roman"/>
        </w:rPr>
        <w:t>the possible benefit of testimony</w:t>
      </w:r>
      <w:r w:rsidR="005B59A7">
        <w:rPr>
          <w:rFonts w:ascii="Times New Roman" w:hAnsi="Times New Roman" w:cs="Times New Roman"/>
        </w:rPr>
        <w:t xml:space="preserve"> by a minor</w:t>
      </w:r>
      <w:r w:rsidR="00D20CA7">
        <w:rPr>
          <w:rFonts w:ascii="Times New Roman" w:hAnsi="Times New Roman" w:cs="Times New Roman"/>
        </w:rPr>
        <w:t xml:space="preserve"> can be outweighed by the </w:t>
      </w:r>
      <w:r w:rsidR="005B59A7">
        <w:rPr>
          <w:rFonts w:ascii="Times New Roman" w:hAnsi="Times New Roman" w:cs="Times New Roman"/>
        </w:rPr>
        <w:t xml:space="preserve">psychological </w:t>
      </w:r>
      <w:r w:rsidR="00D20CA7">
        <w:rPr>
          <w:rFonts w:ascii="Times New Roman" w:hAnsi="Times New Roman" w:cs="Times New Roman"/>
        </w:rPr>
        <w:t xml:space="preserve">harm to </w:t>
      </w:r>
      <w:r w:rsidR="005B59A7">
        <w:rPr>
          <w:rFonts w:ascii="Times New Roman" w:hAnsi="Times New Roman" w:cs="Times New Roman"/>
        </w:rPr>
        <w:t>the minor.</w:t>
      </w:r>
    </w:p>
    <w:p w14:paraId="31AA3472" w14:textId="5686B365" w:rsidR="00C5382B" w:rsidRPr="00C5382B" w:rsidRDefault="005B59A7" w:rsidP="005B59A7">
      <w:pPr>
        <w:pStyle w:val="NoSpacing"/>
        <w:numPr>
          <w:ilvl w:val="0"/>
          <w:numId w:val="1"/>
        </w:numPr>
        <w:spacing w:line="480" w:lineRule="auto"/>
        <w:jc w:val="both"/>
        <w:rPr>
          <w:rFonts w:ascii="Times New Roman" w:hAnsi="Times New Roman" w:cs="Times New Roman"/>
          <w:b/>
          <w:bCs/>
          <w:u w:val="single"/>
        </w:rPr>
      </w:pPr>
      <w:r>
        <w:rPr>
          <w:rFonts w:ascii="Times New Roman" w:hAnsi="Times New Roman" w:cs="Times New Roman"/>
        </w:rPr>
        <w:t>The right to present evidence is a part of the due process right to “a meaningful opportunity to be heard</w:t>
      </w:r>
      <w:r w:rsidR="009B317A">
        <w:rPr>
          <w:rFonts w:ascii="Times New Roman" w:hAnsi="Times New Roman" w:cs="Times New Roman"/>
        </w:rPr>
        <w:t>” and being allowed to do so could “</w:t>
      </w:r>
      <w:r w:rsidR="009B317A">
        <w:rPr>
          <w:rFonts w:ascii="Times New Roman" w:eastAsia="Times New Roman" w:hAnsi="Times New Roman" w:cs="Times New Roman"/>
          <w:color w:val="000000"/>
          <w:szCs w:val="24"/>
          <w:shd w:val="clear" w:color="auto" w:fill="FFFFFF"/>
        </w:rPr>
        <w:t>sufficiently protect the defendant’s due process rights.”</w:t>
      </w:r>
    </w:p>
    <w:p w14:paraId="7E63D3FE" w14:textId="374503ED" w:rsidR="00523FDA" w:rsidRPr="00892CEE" w:rsidRDefault="005B59A7" w:rsidP="00892CEE">
      <w:pPr>
        <w:pStyle w:val="NoSpacing"/>
        <w:numPr>
          <w:ilvl w:val="0"/>
          <w:numId w:val="1"/>
        </w:numPr>
        <w:spacing w:line="480" w:lineRule="auto"/>
        <w:jc w:val="both"/>
        <w:rPr>
          <w:rFonts w:ascii="Times New Roman" w:hAnsi="Times New Roman" w:cs="Times New Roman"/>
          <w:b/>
          <w:bCs/>
          <w:u w:val="single"/>
        </w:rPr>
      </w:pPr>
      <w:r>
        <w:rPr>
          <w:rFonts w:ascii="Times New Roman" w:hAnsi="Times New Roman" w:cs="Times New Roman"/>
        </w:rPr>
        <w:t>The right to cross-examine witnesses is a part of the due process right to “a meaningful opportunity to be heard</w:t>
      </w:r>
      <w:r w:rsidR="008F232E">
        <w:rPr>
          <w:rFonts w:ascii="Times New Roman" w:hAnsi="Times New Roman" w:cs="Times New Roman"/>
        </w:rPr>
        <w:t>.” However, this right in a civil proceeding</w:t>
      </w:r>
      <w:r w:rsidR="00594333">
        <w:rPr>
          <w:rFonts w:ascii="Times New Roman" w:hAnsi="Times New Roman" w:cs="Times New Roman"/>
        </w:rPr>
        <w:t xml:space="preserve"> </w:t>
      </w:r>
      <w:r w:rsidR="008F232E">
        <w:rPr>
          <w:rFonts w:ascii="Times New Roman" w:hAnsi="Times New Roman" w:cs="Times New Roman"/>
        </w:rPr>
        <w:t xml:space="preserve">does not rise to the full Sixth Amendment right enjoyed by criminal defendants. </w:t>
      </w:r>
    </w:p>
    <w:p w14:paraId="6D7891F6" w14:textId="2C8CBAB5" w:rsidR="00523FDA" w:rsidRDefault="00523FDA" w:rsidP="00523FDA">
      <w:pPr>
        <w:pStyle w:val="NoSpacing"/>
        <w:jc w:val="center"/>
        <w:rPr>
          <w:rFonts w:ascii="Times New Roman" w:hAnsi="Times New Roman" w:cs="Times New Roman"/>
          <w:b/>
          <w:bCs/>
          <w:u w:val="single"/>
        </w:rPr>
      </w:pPr>
      <w:r>
        <w:rPr>
          <w:rFonts w:ascii="Times New Roman" w:hAnsi="Times New Roman" w:cs="Times New Roman"/>
          <w:b/>
          <w:bCs/>
          <w:u w:val="single"/>
        </w:rPr>
        <w:t>DISCUSSION</w:t>
      </w:r>
    </w:p>
    <w:p w14:paraId="2DE36EBF" w14:textId="091C69AF" w:rsidR="00463F15" w:rsidRDefault="00463F15" w:rsidP="00523FDA">
      <w:pPr>
        <w:pStyle w:val="NoSpacing"/>
        <w:jc w:val="center"/>
        <w:rPr>
          <w:rFonts w:ascii="Times New Roman" w:hAnsi="Times New Roman" w:cs="Times New Roman"/>
          <w:b/>
          <w:bCs/>
          <w:u w:val="single"/>
        </w:rPr>
      </w:pPr>
    </w:p>
    <w:p w14:paraId="271C8A4D" w14:textId="2999C9EC" w:rsidR="005B41A1" w:rsidRPr="00892CEE" w:rsidRDefault="00B5142A" w:rsidP="00892CEE">
      <w:pPr>
        <w:spacing w:after="0" w:line="480" w:lineRule="auto"/>
        <w:ind w:firstLine="720"/>
        <w:jc w:val="both"/>
        <w:rPr>
          <w:rFonts w:ascii="Times New Roman" w:eastAsia="Times New Roman" w:hAnsi="Times New Roman" w:cs="Times New Roman"/>
          <w:szCs w:val="24"/>
          <w:shd w:val="clear" w:color="auto" w:fill="FFFFFF"/>
        </w:rPr>
      </w:pPr>
      <w:r>
        <w:rPr>
          <w:rFonts w:ascii="Times New Roman" w:hAnsi="Times New Roman" w:cs="Times New Roman"/>
        </w:rPr>
        <w:t xml:space="preserve">In general, </w:t>
      </w:r>
      <w:r w:rsidR="006E744C">
        <w:rPr>
          <w:rFonts w:ascii="Times New Roman" w:hAnsi="Times New Roman" w:cs="Times New Roman"/>
        </w:rPr>
        <w:t xml:space="preserve">“parents have a fundamental liberty interest in the care, custody, and management of their children.” </w:t>
      </w:r>
      <w:r w:rsidR="006E744C">
        <w:rPr>
          <w:rFonts w:ascii="Times New Roman" w:hAnsi="Times New Roman" w:cs="Times New Roman"/>
          <w:i/>
          <w:iCs/>
        </w:rPr>
        <w:t>In re Daniella G.,</w:t>
      </w:r>
      <w:r w:rsidR="006E744C">
        <w:rPr>
          <w:rFonts w:ascii="Times New Roman" w:hAnsi="Times New Roman" w:cs="Times New Roman"/>
        </w:rPr>
        <w:t xml:space="preserve"> 23 Cal.App.5th 1083, 1092 (2018). </w:t>
      </w:r>
      <w:r>
        <w:rPr>
          <w:rFonts w:ascii="Times New Roman" w:hAnsi="Times New Roman" w:cs="Times New Roman"/>
        </w:rPr>
        <w:t xml:space="preserve">Due </w:t>
      </w:r>
      <w:r w:rsidR="006E744C">
        <w:rPr>
          <w:rFonts w:ascii="Times New Roman" w:hAnsi="Times New Roman" w:cs="Times New Roman"/>
        </w:rPr>
        <w:t>p</w:t>
      </w:r>
      <w:r>
        <w:rPr>
          <w:rFonts w:ascii="Times New Roman" w:hAnsi="Times New Roman" w:cs="Times New Roman"/>
        </w:rPr>
        <w:t xml:space="preserve">rocess </w:t>
      </w:r>
      <w:r>
        <w:rPr>
          <w:rFonts w:ascii="Times New Roman" w:hAnsi="Times New Roman" w:cs="Times New Roman"/>
        </w:rPr>
        <w:lastRenderedPageBreak/>
        <w:t xml:space="preserve">requires that </w:t>
      </w:r>
      <w:r w:rsidRPr="00F15866">
        <w:rPr>
          <w:rFonts w:ascii="Times New Roman" w:eastAsia="Times New Roman" w:hAnsi="Times New Roman" w:cs="Times New Roman"/>
          <w:szCs w:val="24"/>
          <w:shd w:val="clear" w:color="auto" w:fill="FFFFFF"/>
        </w:rPr>
        <w:t>“the right of the defendant to be heard</w:t>
      </w:r>
      <w:r w:rsidR="00892CEE">
        <w:rPr>
          <w:rFonts w:ascii="Times New Roman" w:eastAsia="Times New Roman" w:hAnsi="Times New Roman" w:cs="Times New Roman"/>
          <w:szCs w:val="24"/>
          <w:shd w:val="clear" w:color="auto" w:fill="FFFFFF"/>
        </w:rPr>
        <w:t>…</w:t>
      </w:r>
      <w:r w:rsidRPr="00F15866">
        <w:rPr>
          <w:rFonts w:ascii="Times New Roman" w:eastAsia="Times New Roman" w:hAnsi="Times New Roman" w:cs="Times New Roman"/>
          <w:szCs w:val="24"/>
          <w:shd w:val="clear" w:color="auto" w:fill="FFFFFF"/>
        </w:rPr>
        <w:t xml:space="preserve">requires that the defendant be given an opportunity to testify and present evidence.” </w:t>
      </w:r>
      <w:r>
        <w:rPr>
          <w:rFonts w:ascii="Times New Roman" w:eastAsia="Times New Roman" w:hAnsi="Times New Roman" w:cs="Times New Roman"/>
          <w:i/>
          <w:iCs/>
          <w:szCs w:val="24"/>
          <w:shd w:val="clear" w:color="auto" w:fill="FFFFFF"/>
        </w:rPr>
        <w:t xml:space="preserve">C.O. v. M.M., </w:t>
      </w:r>
      <w:r w:rsidRPr="00F15866">
        <w:rPr>
          <w:rFonts w:ascii="Times New Roman" w:eastAsia="Times New Roman" w:hAnsi="Times New Roman" w:cs="Times New Roman"/>
          <w:szCs w:val="24"/>
          <w:shd w:val="clear" w:color="auto" w:fill="FFFFFF"/>
        </w:rPr>
        <w:t>442 Mass.</w:t>
      </w:r>
      <w:r w:rsidRPr="00B5142A">
        <w:rPr>
          <w:rFonts w:ascii="Times New Roman" w:eastAsiaTheme="minorHAnsi" w:hAnsi="Times New Roman" w:cs="Times New Roman"/>
          <w:szCs w:val="24"/>
        </w:rPr>
        <w:t xml:space="preserve"> </w:t>
      </w:r>
      <w:r>
        <w:rPr>
          <w:rFonts w:ascii="Times New Roman" w:eastAsiaTheme="minorHAnsi" w:hAnsi="Times New Roman" w:cs="Times New Roman"/>
          <w:szCs w:val="24"/>
        </w:rPr>
        <w:t>648, 656</w:t>
      </w:r>
      <w:r w:rsidR="00594333">
        <w:rPr>
          <w:rFonts w:ascii="Times New Roman" w:eastAsiaTheme="minorHAnsi" w:hAnsi="Times New Roman" w:cs="Times New Roman"/>
          <w:szCs w:val="24"/>
        </w:rPr>
        <w:t xml:space="preserve"> </w:t>
      </w:r>
      <w:r>
        <w:rPr>
          <w:rFonts w:ascii="Times New Roman" w:eastAsiaTheme="minorHAnsi" w:hAnsi="Times New Roman" w:cs="Times New Roman"/>
          <w:szCs w:val="24"/>
        </w:rPr>
        <w:t>(2004).</w:t>
      </w:r>
      <w:r w:rsidRPr="00F15866">
        <w:rPr>
          <w:rFonts w:ascii="Times New Roman" w:eastAsia="Times New Roman" w:hAnsi="Times New Roman" w:cs="Times New Roman"/>
          <w:i/>
          <w:iCs/>
          <w:szCs w:val="24"/>
          <w:shd w:val="clear" w:color="auto" w:fill="FFFFFF"/>
        </w:rPr>
        <w:t xml:space="preserve"> </w:t>
      </w:r>
      <w:r w:rsidRPr="00F15866">
        <w:rPr>
          <w:rFonts w:ascii="Times New Roman" w:eastAsia="Times New Roman" w:hAnsi="Times New Roman" w:cs="Times New Roman"/>
          <w:szCs w:val="24"/>
          <w:shd w:val="clear" w:color="auto" w:fill="FFFFFF"/>
        </w:rPr>
        <w:t xml:space="preserve">See </w:t>
      </w:r>
      <w:r w:rsidRPr="00F15866">
        <w:rPr>
          <w:rFonts w:ascii="Times New Roman" w:eastAsia="Times New Roman" w:hAnsi="Times New Roman" w:cs="Times New Roman"/>
          <w:i/>
          <w:iCs/>
          <w:szCs w:val="24"/>
          <w:shd w:val="clear" w:color="auto" w:fill="FFFFFF"/>
        </w:rPr>
        <w:t xml:space="preserve">Commonwealth v. Delaney, </w:t>
      </w:r>
      <w:r w:rsidRPr="00F15866">
        <w:rPr>
          <w:rFonts w:ascii="Times New Roman" w:eastAsia="Times New Roman" w:hAnsi="Times New Roman" w:cs="Times New Roman"/>
          <w:szCs w:val="24"/>
          <w:shd w:val="clear" w:color="auto" w:fill="FFFFFF"/>
        </w:rPr>
        <w:t xml:space="preserve">425 Mass. 587, 591 (1997); </w:t>
      </w:r>
      <w:r w:rsidRPr="00F15866">
        <w:rPr>
          <w:rFonts w:ascii="Times New Roman" w:eastAsia="Times New Roman" w:hAnsi="Times New Roman" w:cs="Times New Roman"/>
          <w:i/>
          <w:iCs/>
          <w:szCs w:val="24"/>
          <w:shd w:val="clear" w:color="auto" w:fill="FFFFFF"/>
        </w:rPr>
        <w:t xml:space="preserve">Commonwealth v. Durling, </w:t>
      </w:r>
      <w:r w:rsidRPr="00F15866">
        <w:rPr>
          <w:rFonts w:ascii="Times New Roman" w:eastAsia="Times New Roman" w:hAnsi="Times New Roman" w:cs="Times New Roman"/>
          <w:szCs w:val="24"/>
          <w:shd w:val="clear" w:color="auto" w:fill="FFFFFF"/>
        </w:rPr>
        <w:t xml:space="preserve">407 Mass. 108, 113 (1990); </w:t>
      </w:r>
      <w:r w:rsidRPr="00F15866">
        <w:rPr>
          <w:rFonts w:ascii="Times New Roman" w:eastAsia="Times New Roman" w:hAnsi="Times New Roman" w:cs="Times New Roman"/>
          <w:i/>
          <w:iCs/>
          <w:szCs w:val="24"/>
          <w:shd w:val="clear" w:color="auto" w:fill="FFFFFF"/>
        </w:rPr>
        <w:t xml:space="preserve">Roche v. Massachusetts Bay Transp. Auth., </w:t>
      </w:r>
      <w:r w:rsidRPr="00F15866">
        <w:rPr>
          <w:rFonts w:ascii="Times New Roman" w:eastAsia="Times New Roman" w:hAnsi="Times New Roman" w:cs="Times New Roman"/>
          <w:szCs w:val="24"/>
          <w:shd w:val="clear" w:color="auto" w:fill="FFFFFF"/>
        </w:rPr>
        <w:t>400 Mass. 217, 222 (1987).</w:t>
      </w:r>
      <w:r w:rsidR="00892CEE">
        <w:rPr>
          <w:rFonts w:ascii="Times New Roman" w:eastAsia="Times New Roman" w:hAnsi="Times New Roman" w:cs="Times New Roman"/>
          <w:szCs w:val="24"/>
          <w:shd w:val="clear" w:color="auto" w:fill="FFFFFF"/>
        </w:rPr>
        <w:t xml:space="preserve"> Additionally, </w:t>
      </w:r>
      <w:r w:rsidR="00892CEE">
        <w:rPr>
          <w:rFonts w:ascii="Times New Roman" w:eastAsia="Times New Roman" w:hAnsi="Times New Roman" w:cs="Times New Roman"/>
          <w:color w:val="000000"/>
          <w:szCs w:val="24"/>
          <w:shd w:val="clear" w:color="auto" w:fill="FFFFFF"/>
        </w:rPr>
        <w:t xml:space="preserve">“[w]hile a defendant’s right to present evidence is not absolute, and…a judge may limit cross-examination for ‘good cause’ in certain situations…judicial discretion is not unlimited.” </w:t>
      </w:r>
      <w:r w:rsidR="00892CEE">
        <w:rPr>
          <w:rFonts w:ascii="Times New Roman" w:eastAsia="Times New Roman" w:hAnsi="Times New Roman" w:cs="Times New Roman"/>
          <w:i/>
          <w:iCs/>
          <w:color w:val="000000"/>
          <w:szCs w:val="24"/>
          <w:shd w:val="clear" w:color="auto" w:fill="FFFFFF"/>
        </w:rPr>
        <w:t xml:space="preserve">C.O., </w:t>
      </w:r>
      <w:r w:rsidR="00892CEE">
        <w:rPr>
          <w:rFonts w:ascii="Times New Roman" w:eastAsia="Times New Roman" w:hAnsi="Times New Roman" w:cs="Times New Roman"/>
          <w:color w:val="000000"/>
          <w:szCs w:val="24"/>
          <w:shd w:val="clear" w:color="auto" w:fill="FFFFFF"/>
        </w:rPr>
        <w:t>442 Mass. at 657.</w:t>
      </w:r>
      <w:r w:rsidR="00892CEE">
        <w:rPr>
          <w:rFonts w:ascii="Times New Roman" w:eastAsia="Times New Roman" w:hAnsi="Times New Roman" w:cs="Times New Roman"/>
          <w:i/>
          <w:iCs/>
          <w:color w:val="000000"/>
          <w:szCs w:val="24"/>
          <w:shd w:val="clear" w:color="auto" w:fill="FFFFFF"/>
        </w:rPr>
        <w:t xml:space="preserve"> </w:t>
      </w:r>
      <w:r w:rsidR="00892CEE">
        <w:rPr>
          <w:rFonts w:ascii="Times New Roman" w:eastAsia="Times New Roman" w:hAnsi="Times New Roman" w:cs="Times New Roman"/>
          <w:szCs w:val="24"/>
          <w:shd w:val="clear" w:color="auto" w:fill="FFFFFF"/>
        </w:rPr>
        <w:t>C</w:t>
      </w:r>
      <w:r w:rsidR="00427666">
        <w:rPr>
          <w:rFonts w:ascii="Times New Roman" w:eastAsia="Times New Roman" w:hAnsi="Times New Roman" w:cs="Times New Roman"/>
          <w:szCs w:val="24"/>
          <w:shd w:val="clear" w:color="auto" w:fill="FFFFFF"/>
        </w:rPr>
        <w:t>ertain factors will mitigate whether the exclusion of these rights was within the proper discretion of the trial court</w:t>
      </w:r>
      <w:r w:rsidR="00892CEE">
        <w:rPr>
          <w:rFonts w:ascii="Times New Roman" w:eastAsia="Times New Roman" w:hAnsi="Times New Roman" w:cs="Times New Roman"/>
          <w:szCs w:val="24"/>
          <w:shd w:val="clear" w:color="auto" w:fill="FFFFFF"/>
        </w:rPr>
        <w:t>, such as</w:t>
      </w:r>
      <w:r w:rsidR="00594333">
        <w:rPr>
          <w:rFonts w:ascii="Times New Roman" w:eastAsia="Times New Roman" w:hAnsi="Times New Roman" w:cs="Times New Roman"/>
          <w:szCs w:val="24"/>
          <w:shd w:val="clear" w:color="auto" w:fill="FFFFFF"/>
        </w:rPr>
        <w:t xml:space="preserve"> whether the testifying witness is an adult or child</w:t>
      </w:r>
      <w:r w:rsidR="00892CEE">
        <w:rPr>
          <w:rFonts w:ascii="Times New Roman" w:eastAsia="Times New Roman" w:hAnsi="Times New Roman" w:cs="Times New Roman"/>
          <w:szCs w:val="24"/>
          <w:shd w:val="clear" w:color="auto" w:fill="FFFFFF"/>
        </w:rPr>
        <w:t>.</w:t>
      </w:r>
      <w:r w:rsidR="002832C5">
        <w:rPr>
          <w:rFonts w:ascii="Times New Roman" w:eastAsia="Times New Roman" w:hAnsi="Times New Roman" w:cs="Times New Roman"/>
          <w:szCs w:val="24"/>
          <w:shd w:val="clear" w:color="auto" w:fill="FFFFFF"/>
        </w:rPr>
        <w:t xml:space="preserve"> Unlike criminal defendants, parents in</w:t>
      </w:r>
      <w:r w:rsidR="00594333">
        <w:rPr>
          <w:rFonts w:ascii="Times New Roman" w:eastAsia="Times New Roman" w:hAnsi="Times New Roman" w:cs="Times New Roman"/>
          <w:szCs w:val="24"/>
          <w:shd w:val="clear" w:color="auto" w:fill="FFFFFF"/>
        </w:rPr>
        <w:t xml:space="preserve"> child welfare</w:t>
      </w:r>
      <w:r w:rsidR="002832C5">
        <w:rPr>
          <w:rFonts w:ascii="Times New Roman" w:eastAsia="Times New Roman" w:hAnsi="Times New Roman" w:cs="Times New Roman"/>
          <w:szCs w:val="24"/>
          <w:shd w:val="clear" w:color="auto" w:fill="FFFFFF"/>
        </w:rPr>
        <w:t xml:space="preserve"> proceedings do “not have a right to ‘full confrontation and cross-examination’ under the Sixth Amendment…” </w:t>
      </w:r>
      <w:r w:rsidR="002832C5">
        <w:rPr>
          <w:rFonts w:ascii="Times New Roman" w:hAnsi="Times New Roman" w:cs="Times New Roman"/>
          <w:i/>
          <w:iCs/>
        </w:rPr>
        <w:t>In re Daniella G.,</w:t>
      </w:r>
      <w:r w:rsidR="002832C5">
        <w:rPr>
          <w:rFonts w:ascii="Times New Roman" w:hAnsi="Times New Roman" w:cs="Times New Roman"/>
        </w:rPr>
        <w:t xml:space="preserve"> 23 Cal.App.5th at 1092.</w:t>
      </w:r>
    </w:p>
    <w:p w14:paraId="4E85D3ED" w14:textId="29D2E41E" w:rsidR="005B41A1" w:rsidRDefault="005B41A1" w:rsidP="00892CEE">
      <w:pPr>
        <w:pStyle w:val="NoSpacing"/>
        <w:ind w:firstLine="720"/>
        <w:rPr>
          <w:rFonts w:ascii="Times New Roman" w:hAnsi="Times New Roman" w:cs="Times New Roman"/>
          <w:b/>
          <w:bCs/>
        </w:rPr>
      </w:pPr>
      <w:r>
        <w:rPr>
          <w:rFonts w:ascii="Times New Roman" w:hAnsi="Times New Roman" w:cs="Times New Roman"/>
          <w:b/>
          <w:bCs/>
        </w:rPr>
        <w:t xml:space="preserve">I. RIGHT TO TESTIFY </w:t>
      </w:r>
    </w:p>
    <w:p w14:paraId="0AE814FA" w14:textId="04796349" w:rsidR="00463F15" w:rsidRDefault="00463F15" w:rsidP="00CA05E3">
      <w:pPr>
        <w:pStyle w:val="NoSpacing"/>
        <w:rPr>
          <w:rFonts w:ascii="Times New Roman" w:hAnsi="Times New Roman" w:cs="Times New Roman"/>
          <w:b/>
          <w:bCs/>
        </w:rPr>
      </w:pPr>
    </w:p>
    <w:p w14:paraId="492E254F" w14:textId="44E86A3C" w:rsidR="00463F15" w:rsidRPr="009F06BA" w:rsidRDefault="00463F15" w:rsidP="00892CEE">
      <w:pPr>
        <w:pStyle w:val="NoSpacing"/>
        <w:spacing w:line="480" w:lineRule="auto"/>
        <w:ind w:firstLine="720"/>
        <w:jc w:val="both"/>
        <w:rPr>
          <w:rFonts w:ascii="Times New Roman" w:eastAsiaTheme="minorHAnsi" w:hAnsi="Times New Roman" w:cs="Times New Roman"/>
          <w:i/>
          <w:iCs/>
          <w:szCs w:val="24"/>
        </w:rPr>
      </w:pPr>
      <w:r>
        <w:rPr>
          <w:rFonts w:ascii="Times New Roman" w:eastAsiaTheme="minorHAnsi" w:hAnsi="Times New Roman" w:cs="Times New Roman"/>
          <w:szCs w:val="24"/>
        </w:rPr>
        <w:t xml:space="preserve">In </w:t>
      </w:r>
      <w:r>
        <w:rPr>
          <w:rFonts w:ascii="Times New Roman" w:eastAsiaTheme="minorHAnsi" w:hAnsi="Times New Roman" w:cs="Times New Roman"/>
          <w:i/>
          <w:iCs/>
          <w:szCs w:val="24"/>
        </w:rPr>
        <w:t xml:space="preserve">C.O. v. M.M., </w:t>
      </w:r>
      <w:r>
        <w:rPr>
          <w:rFonts w:ascii="Times New Roman" w:eastAsiaTheme="minorHAnsi" w:hAnsi="Times New Roman" w:cs="Times New Roman"/>
          <w:szCs w:val="24"/>
        </w:rPr>
        <w:t xml:space="preserve">the defendant </w:t>
      </w:r>
      <w:r w:rsidR="006127B5">
        <w:rPr>
          <w:rFonts w:ascii="Times New Roman" w:eastAsiaTheme="minorHAnsi" w:hAnsi="Times New Roman" w:cs="Times New Roman"/>
          <w:szCs w:val="24"/>
        </w:rPr>
        <w:t xml:space="preserve">in a criminal case </w:t>
      </w:r>
      <w:r>
        <w:rPr>
          <w:rFonts w:ascii="Times New Roman" w:eastAsiaTheme="minorHAnsi" w:hAnsi="Times New Roman" w:cs="Times New Roman"/>
          <w:szCs w:val="24"/>
        </w:rPr>
        <w:t xml:space="preserve">appealed the denial of his motion to modify an ex parte temporary abuse prevention order that was issued against him by plaintiff’s daughter. </w:t>
      </w:r>
      <w:r w:rsidRPr="00B01AB2">
        <w:rPr>
          <w:rFonts w:ascii="Times New Roman" w:eastAsiaTheme="minorHAnsi" w:hAnsi="Times New Roman" w:cs="Times New Roman"/>
          <w:szCs w:val="24"/>
        </w:rPr>
        <w:t>442 Mass. 648</w:t>
      </w:r>
      <w:r>
        <w:rPr>
          <w:rFonts w:ascii="Times New Roman" w:eastAsiaTheme="minorHAnsi" w:hAnsi="Times New Roman" w:cs="Times New Roman"/>
          <w:szCs w:val="24"/>
        </w:rPr>
        <w:t xml:space="preserve"> (2004)</w:t>
      </w:r>
      <w:r w:rsidR="00B5142A">
        <w:rPr>
          <w:rFonts w:ascii="Times New Roman" w:eastAsiaTheme="minorHAnsi" w:hAnsi="Times New Roman" w:cs="Times New Roman"/>
          <w:szCs w:val="24"/>
        </w:rPr>
        <w:t>.</w:t>
      </w:r>
      <w:r w:rsidR="00892CEE">
        <w:rPr>
          <w:rFonts w:ascii="Times New Roman" w:eastAsiaTheme="minorHAnsi" w:hAnsi="Times New Roman" w:cs="Times New Roman"/>
          <w:szCs w:val="24"/>
        </w:rPr>
        <w:t xml:space="preserve"> </w:t>
      </w:r>
      <w:r w:rsidRPr="00FD08E3">
        <w:rPr>
          <w:rFonts w:ascii="Times New Roman" w:hAnsi="Times New Roman" w:cs="Times New Roman"/>
          <w:szCs w:val="24"/>
          <w:shd w:val="clear" w:color="auto" w:fill="FFFFFF"/>
        </w:rPr>
        <w:t>The defendant was a seventeen-year-old high school student accused of sexually</w:t>
      </w:r>
      <w:r w:rsidR="00594333">
        <w:rPr>
          <w:rFonts w:ascii="Times New Roman" w:hAnsi="Times New Roman" w:cs="Times New Roman"/>
          <w:szCs w:val="24"/>
          <w:shd w:val="clear" w:color="auto" w:fill="FFFFFF"/>
        </w:rPr>
        <w:t xml:space="preserve"> assaulting</w:t>
      </w:r>
      <w:r w:rsidRPr="00FD08E3">
        <w:rPr>
          <w:rFonts w:ascii="Times New Roman" w:hAnsi="Times New Roman" w:cs="Times New Roman"/>
          <w:szCs w:val="24"/>
          <w:shd w:val="clear" w:color="auto" w:fill="FFFFFF"/>
        </w:rPr>
        <w:t xml:space="preserve"> a fifteen-year-old schoolmate.</w:t>
      </w:r>
      <w:r w:rsidR="009F06BA">
        <w:rPr>
          <w:rFonts w:ascii="Times New Roman" w:hAnsi="Times New Roman" w:cs="Times New Roman"/>
          <w:szCs w:val="24"/>
          <w:shd w:val="clear" w:color="auto" w:fill="FFFFFF"/>
        </w:rPr>
        <w:t xml:space="preserve"> </w:t>
      </w:r>
      <w:r w:rsidR="009F06BA">
        <w:rPr>
          <w:rFonts w:ascii="Times New Roman" w:eastAsiaTheme="minorHAnsi" w:hAnsi="Times New Roman" w:cs="Times New Roman"/>
          <w:i/>
          <w:iCs/>
          <w:szCs w:val="24"/>
        </w:rPr>
        <w:t xml:space="preserve">C.O., </w:t>
      </w:r>
      <w:r w:rsidR="009F06BA">
        <w:rPr>
          <w:rFonts w:ascii="Times New Roman" w:eastAsiaTheme="minorHAnsi" w:hAnsi="Times New Roman" w:cs="Times New Roman"/>
          <w:szCs w:val="24"/>
        </w:rPr>
        <w:t xml:space="preserve">442 Mass. at 649. </w:t>
      </w:r>
      <w:r w:rsidRPr="00FD08E3">
        <w:rPr>
          <w:rFonts w:ascii="Times New Roman" w:hAnsi="Times New Roman" w:cs="Times New Roman"/>
          <w:szCs w:val="24"/>
          <w:shd w:val="clear" w:color="auto" w:fill="FFFFFF"/>
        </w:rPr>
        <w:t xml:space="preserve">The plaintiff in this case, C.O., is the mother of the young woman who was allegedly abused. </w:t>
      </w:r>
      <w:r w:rsidR="009F06BA">
        <w:rPr>
          <w:rFonts w:ascii="Times New Roman" w:hAnsi="Times New Roman" w:cs="Times New Roman"/>
          <w:i/>
          <w:iCs/>
          <w:szCs w:val="24"/>
          <w:shd w:val="clear" w:color="auto" w:fill="FFFFFF"/>
        </w:rPr>
        <w:t xml:space="preserve">Id. </w:t>
      </w:r>
      <w:r w:rsidRPr="00FD08E3">
        <w:rPr>
          <w:rFonts w:ascii="Times New Roman" w:hAnsi="Times New Roman" w:cs="Times New Roman"/>
          <w:szCs w:val="24"/>
          <w:shd w:val="clear" w:color="auto" w:fill="FFFFFF"/>
        </w:rPr>
        <w:t xml:space="preserve">The plaintiff's affidavit </w:t>
      </w:r>
      <w:r w:rsidR="00290EC1">
        <w:rPr>
          <w:rFonts w:ascii="Times New Roman" w:hAnsi="Times New Roman" w:cs="Times New Roman"/>
          <w:szCs w:val="24"/>
          <w:shd w:val="clear" w:color="auto" w:fill="FFFFFF"/>
        </w:rPr>
        <w:t>claimed</w:t>
      </w:r>
      <w:r w:rsidRPr="00FD08E3">
        <w:rPr>
          <w:rFonts w:ascii="Times New Roman" w:hAnsi="Times New Roman" w:cs="Times New Roman"/>
          <w:szCs w:val="24"/>
          <w:shd w:val="clear" w:color="auto" w:fill="FFFFFF"/>
        </w:rPr>
        <w:t xml:space="preserve"> that the defendant offered to drive the daughter home from school</w:t>
      </w:r>
      <w:r w:rsidR="00290EC1">
        <w:rPr>
          <w:rFonts w:ascii="Times New Roman" w:hAnsi="Times New Roman" w:cs="Times New Roman"/>
          <w:szCs w:val="24"/>
          <w:shd w:val="clear" w:color="auto" w:fill="FFFFFF"/>
        </w:rPr>
        <w:t>. A</w:t>
      </w:r>
      <w:r w:rsidRPr="00FD08E3">
        <w:rPr>
          <w:rFonts w:ascii="Times New Roman" w:hAnsi="Times New Roman" w:cs="Times New Roman"/>
          <w:szCs w:val="24"/>
          <w:shd w:val="clear" w:color="auto" w:fill="FFFFFF"/>
        </w:rPr>
        <w:t xml:space="preserve">long the way, </w:t>
      </w:r>
      <w:r w:rsidR="00290EC1">
        <w:rPr>
          <w:rFonts w:ascii="Times New Roman" w:hAnsi="Times New Roman" w:cs="Times New Roman"/>
          <w:szCs w:val="24"/>
          <w:shd w:val="clear" w:color="auto" w:fill="FFFFFF"/>
        </w:rPr>
        <w:t xml:space="preserve">the defendant </w:t>
      </w:r>
      <w:r w:rsidRPr="00FD08E3">
        <w:rPr>
          <w:rFonts w:ascii="Times New Roman" w:hAnsi="Times New Roman" w:cs="Times New Roman"/>
          <w:szCs w:val="24"/>
          <w:shd w:val="clear" w:color="auto" w:fill="FFFFFF"/>
        </w:rPr>
        <w:t>stopped at his house, invited the young woman inside, and then forcibly sexually assaulted her in his bedroom.</w:t>
      </w:r>
      <w:r w:rsidR="009F06BA">
        <w:rPr>
          <w:rFonts w:ascii="Times New Roman" w:hAnsi="Times New Roman" w:cs="Times New Roman"/>
          <w:szCs w:val="24"/>
          <w:shd w:val="clear" w:color="auto" w:fill="FFFFFF"/>
        </w:rPr>
        <w:t xml:space="preserve"> </w:t>
      </w:r>
      <w:r w:rsidR="009F06BA">
        <w:rPr>
          <w:rFonts w:ascii="Times New Roman" w:hAnsi="Times New Roman" w:cs="Times New Roman"/>
          <w:i/>
          <w:iCs/>
          <w:szCs w:val="24"/>
          <w:shd w:val="clear" w:color="auto" w:fill="FFFFFF"/>
        </w:rPr>
        <w:t>Id.</w:t>
      </w:r>
      <w:r w:rsidRPr="00FD08E3">
        <w:rPr>
          <w:rFonts w:ascii="Times New Roman" w:hAnsi="Times New Roman" w:cs="Times New Roman"/>
          <w:szCs w:val="24"/>
          <w:shd w:val="clear" w:color="auto" w:fill="FFFFFF"/>
        </w:rPr>
        <w:t xml:space="preserve"> The defendant </w:t>
      </w:r>
      <w:r w:rsidR="009F06BA">
        <w:rPr>
          <w:rFonts w:ascii="Times New Roman" w:hAnsi="Times New Roman" w:cs="Times New Roman"/>
          <w:szCs w:val="24"/>
          <w:shd w:val="clear" w:color="auto" w:fill="FFFFFF"/>
        </w:rPr>
        <w:t xml:space="preserve">denied the incident happening. </w:t>
      </w:r>
      <w:r w:rsidR="009F06BA">
        <w:rPr>
          <w:rFonts w:ascii="Times New Roman" w:hAnsi="Times New Roman" w:cs="Times New Roman"/>
          <w:i/>
          <w:iCs/>
          <w:szCs w:val="24"/>
          <w:shd w:val="clear" w:color="auto" w:fill="FFFFFF"/>
        </w:rPr>
        <w:t xml:space="preserve">Id. </w:t>
      </w:r>
      <w:r w:rsidRPr="00FD08E3">
        <w:rPr>
          <w:rFonts w:ascii="Times New Roman" w:hAnsi="Times New Roman" w:cs="Times New Roman"/>
          <w:szCs w:val="24"/>
          <w:shd w:val="clear" w:color="auto" w:fill="FFFFFF"/>
        </w:rPr>
        <w:t>Shortly after, the plaintiff filed a complaint and supporting affidavit on behalf of her daughter and obtained an ex parte abuse prevention order against the defendant pursuant to </w:t>
      </w:r>
      <w:hyperlink r:id="rId8" w:history="1">
        <w:r w:rsidRPr="00FD08E3">
          <w:rPr>
            <w:rStyle w:val="Hyperlink"/>
            <w:rFonts w:ascii="Times New Roman" w:hAnsi="Times New Roman" w:cs="Times New Roman"/>
            <w:color w:val="auto"/>
            <w:szCs w:val="24"/>
            <w:bdr w:val="none" w:sz="0" w:space="0" w:color="auto" w:frame="1"/>
            <w:shd w:val="clear" w:color="auto" w:fill="FFFFFF"/>
          </w:rPr>
          <w:t>G.L. c. 209A, § 4</w:t>
        </w:r>
      </w:hyperlink>
      <w:r w:rsidRPr="00FD08E3">
        <w:rPr>
          <w:rFonts w:ascii="Times New Roman" w:hAnsi="Times New Roman" w:cs="Times New Roman"/>
          <w:szCs w:val="24"/>
          <w:shd w:val="clear" w:color="auto" w:fill="FFFFFF"/>
        </w:rPr>
        <w:t xml:space="preserve">. </w:t>
      </w:r>
      <w:r w:rsidR="009F06BA">
        <w:rPr>
          <w:rFonts w:ascii="Times New Roman" w:hAnsi="Times New Roman" w:cs="Times New Roman"/>
          <w:i/>
          <w:iCs/>
          <w:szCs w:val="24"/>
          <w:shd w:val="clear" w:color="auto" w:fill="FFFFFF"/>
        </w:rPr>
        <w:t xml:space="preserve">Id. </w:t>
      </w:r>
      <w:r w:rsidR="009F06BA">
        <w:rPr>
          <w:rFonts w:ascii="Times New Roman" w:hAnsi="Times New Roman" w:cs="Times New Roman"/>
          <w:szCs w:val="24"/>
          <w:shd w:val="clear" w:color="auto" w:fill="FFFFFF"/>
        </w:rPr>
        <w:t>Next, t</w:t>
      </w:r>
      <w:r w:rsidRPr="00FD08E3">
        <w:rPr>
          <w:rFonts w:ascii="Times New Roman" w:hAnsi="Times New Roman" w:cs="Times New Roman"/>
          <w:szCs w:val="24"/>
          <w:shd w:val="clear" w:color="auto" w:fill="FFFFFF"/>
        </w:rPr>
        <w:t>he defendant was arrested and arraigned on charges stemming from the assault</w:t>
      </w:r>
      <w:r w:rsidR="009F06BA">
        <w:rPr>
          <w:rFonts w:ascii="Times New Roman" w:hAnsi="Times New Roman" w:cs="Times New Roman"/>
          <w:szCs w:val="24"/>
          <w:shd w:val="clear" w:color="auto" w:fill="FFFFFF"/>
        </w:rPr>
        <w:t xml:space="preserve">, and the </w:t>
      </w:r>
      <w:r w:rsidRPr="00FD08E3">
        <w:rPr>
          <w:rFonts w:ascii="Times New Roman" w:hAnsi="Times New Roman" w:cs="Times New Roman"/>
          <w:szCs w:val="24"/>
          <w:shd w:val="clear" w:color="auto" w:fill="FFFFFF"/>
        </w:rPr>
        <w:t xml:space="preserve">Brockton </w:t>
      </w:r>
      <w:r w:rsidRPr="00FD08E3">
        <w:rPr>
          <w:rFonts w:ascii="Times New Roman" w:hAnsi="Times New Roman" w:cs="Times New Roman"/>
          <w:szCs w:val="24"/>
          <w:shd w:val="clear" w:color="auto" w:fill="FFFFFF"/>
        </w:rPr>
        <w:lastRenderedPageBreak/>
        <w:t>District Court extended the abused protection order.</w:t>
      </w:r>
      <w:r w:rsidR="009F06BA">
        <w:rPr>
          <w:rFonts w:ascii="Times New Roman" w:hAnsi="Times New Roman" w:cs="Times New Roman"/>
          <w:szCs w:val="24"/>
          <w:shd w:val="clear" w:color="auto" w:fill="FFFFFF"/>
        </w:rPr>
        <w:t xml:space="preserve"> </w:t>
      </w:r>
      <w:r w:rsidR="009F06BA">
        <w:rPr>
          <w:rFonts w:ascii="Times New Roman" w:eastAsiaTheme="minorHAnsi" w:hAnsi="Times New Roman" w:cs="Times New Roman"/>
          <w:i/>
          <w:iCs/>
          <w:szCs w:val="24"/>
        </w:rPr>
        <w:t xml:space="preserve">C.O., </w:t>
      </w:r>
      <w:r w:rsidR="009F06BA">
        <w:rPr>
          <w:rFonts w:ascii="Times New Roman" w:eastAsiaTheme="minorHAnsi" w:hAnsi="Times New Roman" w:cs="Times New Roman"/>
          <w:szCs w:val="24"/>
        </w:rPr>
        <w:t>442 Mass. at 650.</w:t>
      </w:r>
      <w:r w:rsidRPr="00FD08E3">
        <w:rPr>
          <w:rFonts w:ascii="Times New Roman" w:hAnsi="Times New Roman" w:cs="Times New Roman"/>
          <w:szCs w:val="24"/>
          <w:shd w:val="clear" w:color="auto" w:fill="FFFFFF"/>
        </w:rPr>
        <w:t xml:space="preserve"> The defendant </w:t>
      </w:r>
      <w:r w:rsidR="009F06BA">
        <w:rPr>
          <w:rFonts w:ascii="Times New Roman" w:hAnsi="Times New Roman" w:cs="Times New Roman"/>
          <w:szCs w:val="24"/>
          <w:shd w:val="clear" w:color="auto" w:fill="FFFFFF"/>
        </w:rPr>
        <w:t xml:space="preserve">ultimately </w:t>
      </w:r>
      <w:r w:rsidRPr="00FD08E3">
        <w:rPr>
          <w:rFonts w:ascii="Times New Roman" w:hAnsi="Times New Roman" w:cs="Times New Roman"/>
          <w:szCs w:val="24"/>
          <w:shd w:val="clear" w:color="auto" w:fill="FFFFFF"/>
        </w:rPr>
        <w:t xml:space="preserve">made a motion to modify the abuse prevention order, which was denied. </w:t>
      </w:r>
      <w:r w:rsidR="009F06BA">
        <w:rPr>
          <w:rFonts w:ascii="Times New Roman" w:hAnsi="Times New Roman" w:cs="Times New Roman"/>
          <w:i/>
          <w:iCs/>
          <w:szCs w:val="24"/>
          <w:shd w:val="clear" w:color="auto" w:fill="FFFFFF"/>
        </w:rPr>
        <w:t xml:space="preserve">Id. </w:t>
      </w:r>
      <w:r w:rsidRPr="00FD08E3">
        <w:rPr>
          <w:rFonts w:ascii="Times New Roman" w:hAnsi="Times New Roman" w:cs="Times New Roman"/>
          <w:szCs w:val="24"/>
          <w:shd w:val="clear" w:color="auto" w:fill="FFFFFF"/>
        </w:rPr>
        <w:t xml:space="preserve">This decision is from the defendant’s timely appeal of that denial. </w:t>
      </w:r>
      <w:r w:rsidR="009F06BA">
        <w:rPr>
          <w:rFonts w:ascii="Times New Roman" w:hAnsi="Times New Roman" w:cs="Times New Roman"/>
          <w:i/>
          <w:iCs/>
          <w:szCs w:val="24"/>
          <w:shd w:val="clear" w:color="auto" w:fill="FFFFFF"/>
        </w:rPr>
        <w:t>Id.</w:t>
      </w:r>
    </w:p>
    <w:p w14:paraId="0A5A28E3" w14:textId="23C0F943" w:rsidR="00463F15" w:rsidRPr="008943F3" w:rsidRDefault="00463F15" w:rsidP="00DE3A30">
      <w:pPr>
        <w:shd w:val="clear" w:color="auto" w:fill="FFFFFF"/>
        <w:spacing w:after="0" w:line="480" w:lineRule="auto"/>
        <w:ind w:firstLine="720"/>
        <w:jc w:val="both"/>
        <w:textAlignment w:val="baseline"/>
        <w:rPr>
          <w:rFonts w:ascii="Times New Roman" w:eastAsia="Times New Roman" w:hAnsi="Times New Roman" w:cs="Times New Roman"/>
          <w:szCs w:val="24"/>
        </w:rPr>
      </w:pPr>
      <w:r w:rsidRPr="00FD08E3">
        <w:rPr>
          <w:rFonts w:ascii="Times New Roman" w:hAnsi="Times New Roman" w:cs="Times New Roman"/>
          <w:szCs w:val="24"/>
          <w:shd w:val="clear" w:color="auto" w:fill="FFFFFF"/>
        </w:rPr>
        <w:t>The court</w:t>
      </w:r>
      <w:r w:rsidR="003C7106">
        <w:rPr>
          <w:rFonts w:ascii="Times New Roman" w:hAnsi="Times New Roman" w:cs="Times New Roman"/>
          <w:szCs w:val="24"/>
          <w:shd w:val="clear" w:color="auto" w:fill="FFFFFF"/>
        </w:rPr>
        <w:t xml:space="preserve"> issued three relevant findings:</w:t>
      </w:r>
      <w:r w:rsidRPr="00FD08E3">
        <w:rPr>
          <w:rFonts w:ascii="Times New Roman" w:hAnsi="Times New Roman" w:cs="Times New Roman"/>
          <w:szCs w:val="24"/>
          <w:shd w:val="clear" w:color="auto" w:fill="FFFFFF"/>
        </w:rPr>
        <w:t xml:space="preserve"> (1)</w:t>
      </w:r>
      <w:r>
        <w:rPr>
          <w:rFonts w:ascii="Times New Roman" w:eastAsia="Times New Roman" w:hAnsi="Times New Roman" w:cs="Times New Roman"/>
          <w:szCs w:val="24"/>
        </w:rPr>
        <w:t xml:space="preserve"> the</w:t>
      </w:r>
      <w:r w:rsidRPr="00FD08E3">
        <w:rPr>
          <w:rFonts w:ascii="Times New Roman" w:eastAsia="Times New Roman" w:hAnsi="Times New Roman" w:cs="Times New Roman"/>
          <w:szCs w:val="24"/>
        </w:rPr>
        <w:t> trial court's refusal to allow defendant to present evidence and cross-examine witnesses during</w:t>
      </w:r>
      <w:r>
        <w:rPr>
          <w:rFonts w:ascii="Times New Roman" w:eastAsia="Times New Roman" w:hAnsi="Times New Roman" w:cs="Times New Roman"/>
          <w:szCs w:val="24"/>
        </w:rPr>
        <w:t xml:space="preserve"> a</w:t>
      </w:r>
      <w:r w:rsidRPr="00FD08E3">
        <w:rPr>
          <w:rFonts w:ascii="Times New Roman" w:eastAsia="Times New Roman" w:hAnsi="Times New Roman" w:cs="Times New Roman"/>
          <w:szCs w:val="24"/>
        </w:rPr>
        <w:t xml:space="preserve"> hearing on whether to continue </w:t>
      </w:r>
      <w:r>
        <w:rPr>
          <w:rFonts w:ascii="Times New Roman" w:eastAsia="Times New Roman" w:hAnsi="Times New Roman" w:cs="Times New Roman"/>
          <w:szCs w:val="24"/>
        </w:rPr>
        <w:t xml:space="preserve">an </w:t>
      </w:r>
      <w:r w:rsidRPr="00FD08E3">
        <w:rPr>
          <w:rFonts w:ascii="Times New Roman" w:eastAsia="Times New Roman" w:hAnsi="Times New Roman" w:cs="Times New Roman"/>
          <w:szCs w:val="24"/>
        </w:rPr>
        <w:t>temporary abuse prevention order violated</w:t>
      </w:r>
      <w:r>
        <w:rPr>
          <w:rFonts w:ascii="Times New Roman" w:eastAsia="Times New Roman" w:hAnsi="Times New Roman" w:cs="Times New Roman"/>
          <w:szCs w:val="24"/>
        </w:rPr>
        <w:t xml:space="preserve"> the</w:t>
      </w:r>
      <w:r w:rsidRPr="00FD08E3">
        <w:rPr>
          <w:rFonts w:ascii="Times New Roman" w:eastAsia="Times New Roman" w:hAnsi="Times New Roman" w:cs="Times New Roman"/>
          <w:szCs w:val="24"/>
        </w:rPr>
        <w:t xml:space="preserve"> defendant's constitutional and statutory right to be heard;</w:t>
      </w:r>
      <w:r>
        <w:rPr>
          <w:rFonts w:ascii="Times New Roman" w:eastAsia="Times New Roman" w:hAnsi="Times New Roman" w:cs="Times New Roman"/>
          <w:szCs w:val="24"/>
        </w:rPr>
        <w:t xml:space="preserve"> (</w:t>
      </w:r>
      <w:r w:rsidR="00892CEE">
        <w:rPr>
          <w:rFonts w:ascii="Times New Roman" w:eastAsia="Times New Roman" w:hAnsi="Times New Roman" w:cs="Times New Roman"/>
          <w:szCs w:val="24"/>
        </w:rPr>
        <w:t>2</w:t>
      </w:r>
      <w:r>
        <w:rPr>
          <w:rFonts w:ascii="Times New Roman" w:eastAsia="Times New Roman" w:hAnsi="Times New Roman" w:cs="Times New Roman"/>
          <w:szCs w:val="24"/>
        </w:rPr>
        <w:t>) the t</w:t>
      </w:r>
      <w:r w:rsidRPr="00FD08E3">
        <w:rPr>
          <w:rFonts w:ascii="Times New Roman" w:eastAsia="Times New Roman" w:hAnsi="Times New Roman" w:cs="Times New Roman"/>
          <w:szCs w:val="24"/>
        </w:rPr>
        <w:t xml:space="preserve">rial court's refusal to allow defendant to testify was not </w:t>
      </w:r>
      <w:r>
        <w:rPr>
          <w:rFonts w:ascii="Times New Roman" w:eastAsia="Times New Roman" w:hAnsi="Times New Roman" w:cs="Times New Roman"/>
          <w:szCs w:val="24"/>
        </w:rPr>
        <w:t xml:space="preserve">a </w:t>
      </w:r>
      <w:r w:rsidRPr="00FD08E3">
        <w:rPr>
          <w:rFonts w:ascii="Times New Roman" w:eastAsia="Times New Roman" w:hAnsi="Times New Roman" w:cs="Times New Roman"/>
          <w:szCs w:val="24"/>
        </w:rPr>
        <w:t>proper exercise of judicial discretion; and</w:t>
      </w:r>
      <w:r>
        <w:rPr>
          <w:rFonts w:ascii="Times New Roman" w:eastAsia="Times New Roman" w:hAnsi="Times New Roman" w:cs="Times New Roman"/>
          <w:szCs w:val="24"/>
        </w:rPr>
        <w:t xml:space="preserve"> (</w:t>
      </w:r>
      <w:r w:rsidR="00892CEE">
        <w:rPr>
          <w:rFonts w:ascii="Times New Roman" w:eastAsia="Times New Roman" w:hAnsi="Times New Roman" w:cs="Times New Roman"/>
          <w:szCs w:val="24"/>
        </w:rPr>
        <w:t>3</w:t>
      </w:r>
      <w:r>
        <w:rPr>
          <w:rFonts w:ascii="Times New Roman" w:eastAsia="Times New Roman" w:hAnsi="Times New Roman" w:cs="Times New Roman"/>
          <w:szCs w:val="24"/>
        </w:rPr>
        <w:t xml:space="preserve">) the </w:t>
      </w:r>
      <w:r w:rsidRPr="00FD08E3">
        <w:rPr>
          <w:rFonts w:ascii="Times New Roman" w:eastAsia="Times New Roman" w:hAnsi="Times New Roman" w:cs="Times New Roman"/>
          <w:szCs w:val="24"/>
        </w:rPr>
        <w:t xml:space="preserve">fact that </w:t>
      </w:r>
      <w:r>
        <w:rPr>
          <w:rFonts w:ascii="Times New Roman" w:eastAsia="Times New Roman" w:hAnsi="Times New Roman" w:cs="Times New Roman"/>
          <w:szCs w:val="24"/>
        </w:rPr>
        <w:t xml:space="preserve">a separate </w:t>
      </w:r>
      <w:r w:rsidRPr="00FD08E3">
        <w:rPr>
          <w:rFonts w:ascii="Times New Roman" w:eastAsia="Times New Roman" w:hAnsi="Times New Roman" w:cs="Times New Roman"/>
          <w:szCs w:val="24"/>
        </w:rPr>
        <w:t xml:space="preserve">criminal matter relating to alleged sexual assault was pending at time of </w:t>
      </w:r>
      <w:r>
        <w:rPr>
          <w:rFonts w:ascii="Times New Roman" w:eastAsia="Times New Roman" w:hAnsi="Times New Roman" w:cs="Times New Roman"/>
          <w:szCs w:val="24"/>
        </w:rPr>
        <w:t xml:space="preserve">this </w:t>
      </w:r>
      <w:r w:rsidRPr="00FD08E3">
        <w:rPr>
          <w:rFonts w:ascii="Times New Roman" w:eastAsia="Times New Roman" w:hAnsi="Times New Roman" w:cs="Times New Roman"/>
          <w:szCs w:val="24"/>
        </w:rPr>
        <w:t>hearing</w:t>
      </w:r>
      <w:r>
        <w:rPr>
          <w:rFonts w:ascii="Times New Roman" w:eastAsia="Times New Roman" w:hAnsi="Times New Roman" w:cs="Times New Roman"/>
          <w:szCs w:val="24"/>
        </w:rPr>
        <w:t>…</w:t>
      </w:r>
      <w:r w:rsidRPr="00FD08E3">
        <w:rPr>
          <w:rFonts w:ascii="Times New Roman" w:eastAsia="Times New Roman" w:hAnsi="Times New Roman" w:cs="Times New Roman"/>
          <w:szCs w:val="24"/>
        </w:rPr>
        <w:t>had no bearing on defendant's due process rights to present evidence and cross-examine witnesses.</w:t>
      </w:r>
      <w:r>
        <w:rPr>
          <w:rFonts w:ascii="Times New Roman" w:eastAsia="Times New Roman" w:hAnsi="Times New Roman" w:cs="Times New Roman"/>
          <w:szCs w:val="24"/>
        </w:rPr>
        <w:t xml:space="preserve"> </w:t>
      </w:r>
      <w:r>
        <w:rPr>
          <w:rFonts w:ascii="Times New Roman" w:eastAsia="Times New Roman" w:hAnsi="Times New Roman" w:cs="Times New Roman"/>
          <w:i/>
          <w:iCs/>
          <w:szCs w:val="24"/>
        </w:rPr>
        <w:t>C.</w:t>
      </w:r>
      <w:r w:rsidRPr="008943F3">
        <w:rPr>
          <w:rFonts w:ascii="Times New Roman" w:eastAsia="Times New Roman" w:hAnsi="Times New Roman" w:cs="Times New Roman"/>
          <w:i/>
          <w:iCs/>
          <w:szCs w:val="24"/>
        </w:rPr>
        <w:t xml:space="preserve">O., </w:t>
      </w:r>
      <w:r w:rsidRPr="008943F3">
        <w:rPr>
          <w:rFonts w:ascii="Times New Roman" w:eastAsia="Times New Roman" w:hAnsi="Times New Roman" w:cs="Times New Roman"/>
          <w:szCs w:val="24"/>
        </w:rPr>
        <w:t>442 Mass. at 648</w:t>
      </w:r>
      <w:r w:rsidR="009F06BA" w:rsidRPr="008943F3">
        <w:rPr>
          <w:rFonts w:ascii="Times New Roman" w:eastAsia="Times New Roman" w:hAnsi="Times New Roman" w:cs="Times New Roman"/>
          <w:szCs w:val="24"/>
        </w:rPr>
        <w:t xml:space="preserve">, 656-659. </w:t>
      </w:r>
    </w:p>
    <w:p w14:paraId="4EFBF8A9" w14:textId="17D5E1CE" w:rsidR="008F232E" w:rsidRDefault="008943F3" w:rsidP="008F232E">
      <w:pPr>
        <w:spacing w:after="0" w:line="480" w:lineRule="auto"/>
        <w:ind w:firstLine="720"/>
        <w:jc w:val="both"/>
        <w:rPr>
          <w:rFonts w:ascii="Times New Roman" w:eastAsia="Times New Roman" w:hAnsi="Times New Roman" w:cs="Times New Roman"/>
          <w:i/>
          <w:iCs/>
          <w:color w:val="000000"/>
          <w:szCs w:val="24"/>
          <w:shd w:val="clear" w:color="auto" w:fill="FFFFFF"/>
        </w:rPr>
      </w:pPr>
      <w:r w:rsidRPr="00F15866">
        <w:rPr>
          <w:rFonts w:ascii="Times New Roman" w:eastAsia="Times New Roman" w:hAnsi="Times New Roman" w:cs="Times New Roman"/>
          <w:szCs w:val="24"/>
        </w:rPr>
        <w:t xml:space="preserve">The court provided there </w:t>
      </w:r>
      <w:r w:rsidRPr="00F15866">
        <w:rPr>
          <w:rFonts w:ascii="Times New Roman" w:eastAsia="Times New Roman" w:hAnsi="Times New Roman" w:cs="Times New Roman"/>
          <w:szCs w:val="24"/>
          <w:shd w:val="clear" w:color="auto" w:fill="FFFFFF"/>
        </w:rPr>
        <w:t xml:space="preserve">was “no question that the defendant was denied a meaningful opportunity to be heard.” </w:t>
      </w:r>
      <w:r w:rsidRPr="00F15866">
        <w:rPr>
          <w:rFonts w:ascii="Times New Roman" w:eastAsia="Times New Roman" w:hAnsi="Times New Roman" w:cs="Times New Roman"/>
          <w:i/>
          <w:iCs/>
          <w:szCs w:val="24"/>
          <w:shd w:val="clear" w:color="auto" w:fill="FFFFFF"/>
        </w:rPr>
        <w:t xml:space="preserve">C.O., </w:t>
      </w:r>
      <w:r w:rsidRPr="00F15866">
        <w:rPr>
          <w:rFonts w:ascii="Times New Roman" w:eastAsia="Times New Roman" w:hAnsi="Times New Roman" w:cs="Times New Roman"/>
          <w:szCs w:val="24"/>
          <w:shd w:val="clear" w:color="auto" w:fill="FFFFFF"/>
        </w:rPr>
        <w:t xml:space="preserve">442 Mass. at 656. Moreover, “the right of the defendant to be heard” and the right to due process “requires that the defendant be given an opportunity to testify and present evidence.” </w:t>
      </w:r>
      <w:r w:rsidRPr="00F15866">
        <w:rPr>
          <w:rFonts w:ascii="Times New Roman" w:eastAsia="Times New Roman" w:hAnsi="Times New Roman" w:cs="Times New Roman"/>
          <w:i/>
          <w:iCs/>
          <w:szCs w:val="24"/>
          <w:shd w:val="clear" w:color="auto" w:fill="FFFFFF"/>
        </w:rPr>
        <w:t xml:space="preserve">Id. </w:t>
      </w:r>
      <w:r w:rsidRPr="00F15866">
        <w:rPr>
          <w:rFonts w:ascii="Times New Roman" w:eastAsia="Times New Roman" w:hAnsi="Times New Roman" w:cs="Times New Roman"/>
          <w:szCs w:val="24"/>
          <w:shd w:val="clear" w:color="auto" w:fill="FFFFFF"/>
        </w:rPr>
        <w:t xml:space="preserve">See </w:t>
      </w:r>
      <w:r w:rsidRPr="00F15866">
        <w:rPr>
          <w:rFonts w:ascii="Times New Roman" w:eastAsia="Times New Roman" w:hAnsi="Times New Roman" w:cs="Times New Roman"/>
          <w:i/>
          <w:iCs/>
          <w:szCs w:val="24"/>
          <w:shd w:val="clear" w:color="auto" w:fill="FFFFFF"/>
        </w:rPr>
        <w:t xml:space="preserve">Commonwealth v. Delaney, </w:t>
      </w:r>
      <w:r w:rsidRPr="00F15866">
        <w:rPr>
          <w:rFonts w:ascii="Times New Roman" w:eastAsia="Times New Roman" w:hAnsi="Times New Roman" w:cs="Times New Roman"/>
          <w:szCs w:val="24"/>
          <w:shd w:val="clear" w:color="auto" w:fill="FFFFFF"/>
        </w:rPr>
        <w:t xml:space="preserve">425 Mass. 587, 591 (1997); </w:t>
      </w:r>
      <w:r w:rsidRPr="00F15866">
        <w:rPr>
          <w:rFonts w:ascii="Times New Roman" w:eastAsia="Times New Roman" w:hAnsi="Times New Roman" w:cs="Times New Roman"/>
          <w:i/>
          <w:iCs/>
          <w:szCs w:val="24"/>
          <w:shd w:val="clear" w:color="auto" w:fill="FFFFFF"/>
        </w:rPr>
        <w:t xml:space="preserve">Commonwealth v. Durling, </w:t>
      </w:r>
      <w:r w:rsidRPr="00F15866">
        <w:rPr>
          <w:rFonts w:ascii="Times New Roman" w:eastAsia="Times New Roman" w:hAnsi="Times New Roman" w:cs="Times New Roman"/>
          <w:szCs w:val="24"/>
          <w:shd w:val="clear" w:color="auto" w:fill="FFFFFF"/>
        </w:rPr>
        <w:t xml:space="preserve">407 Mass. 108, 113 (1990); </w:t>
      </w:r>
      <w:r w:rsidRPr="00F15866">
        <w:rPr>
          <w:rFonts w:ascii="Times New Roman" w:eastAsia="Times New Roman" w:hAnsi="Times New Roman" w:cs="Times New Roman"/>
          <w:i/>
          <w:iCs/>
          <w:szCs w:val="24"/>
          <w:shd w:val="clear" w:color="auto" w:fill="FFFFFF"/>
        </w:rPr>
        <w:t xml:space="preserve">Roche v. Massachusetts Bay Transp. Auth., </w:t>
      </w:r>
      <w:r w:rsidRPr="00F15866">
        <w:rPr>
          <w:rFonts w:ascii="Times New Roman" w:eastAsia="Times New Roman" w:hAnsi="Times New Roman" w:cs="Times New Roman"/>
          <w:szCs w:val="24"/>
          <w:shd w:val="clear" w:color="auto" w:fill="FFFFFF"/>
        </w:rPr>
        <w:t xml:space="preserve">400 Mass. 217, 222 (1987). </w:t>
      </w:r>
      <w:r w:rsidR="008D3EF4">
        <w:rPr>
          <w:rFonts w:ascii="Times New Roman" w:eastAsia="Times New Roman" w:hAnsi="Times New Roman" w:cs="Times New Roman"/>
          <w:color w:val="000000"/>
          <w:szCs w:val="24"/>
          <w:shd w:val="clear" w:color="auto" w:fill="FFFFFF"/>
        </w:rPr>
        <w:t>The opinion pointed out that “on four separate occasions” the defendant’s counsel had argued for his right to call witnesses</w:t>
      </w:r>
      <w:r w:rsidR="005B357F">
        <w:rPr>
          <w:rFonts w:ascii="Times New Roman" w:eastAsia="Times New Roman" w:hAnsi="Times New Roman" w:cs="Times New Roman"/>
          <w:color w:val="000000"/>
          <w:szCs w:val="24"/>
          <w:shd w:val="clear" w:color="auto" w:fill="FFFFFF"/>
        </w:rPr>
        <w:t xml:space="preserve">. </w:t>
      </w:r>
      <w:r w:rsidR="008D3EF4">
        <w:rPr>
          <w:rFonts w:ascii="Times New Roman" w:eastAsia="Times New Roman" w:hAnsi="Times New Roman" w:cs="Times New Roman"/>
          <w:i/>
          <w:iCs/>
          <w:color w:val="000000"/>
          <w:szCs w:val="24"/>
          <w:shd w:val="clear" w:color="auto" w:fill="FFFFFF"/>
        </w:rPr>
        <w:t xml:space="preserve">C.O., </w:t>
      </w:r>
      <w:r w:rsidR="008D3EF4">
        <w:rPr>
          <w:rFonts w:ascii="Times New Roman" w:eastAsia="Times New Roman" w:hAnsi="Times New Roman" w:cs="Times New Roman"/>
          <w:color w:val="000000"/>
          <w:szCs w:val="24"/>
          <w:shd w:val="clear" w:color="auto" w:fill="FFFFFF"/>
        </w:rPr>
        <w:t>442 Mass. at 657. The plaintiff</w:t>
      </w:r>
      <w:r w:rsidR="005B357F">
        <w:rPr>
          <w:rFonts w:ascii="Times New Roman" w:eastAsia="Times New Roman" w:hAnsi="Times New Roman" w:cs="Times New Roman"/>
          <w:color w:val="000000"/>
          <w:szCs w:val="24"/>
          <w:shd w:val="clear" w:color="auto" w:fill="FFFFFF"/>
        </w:rPr>
        <w:t xml:space="preserve"> argued </w:t>
      </w:r>
      <w:r w:rsidR="008D3EF4">
        <w:rPr>
          <w:rFonts w:ascii="Times New Roman" w:eastAsia="Times New Roman" w:hAnsi="Times New Roman" w:cs="Times New Roman"/>
          <w:color w:val="000000"/>
          <w:szCs w:val="24"/>
          <w:shd w:val="clear" w:color="auto" w:fill="FFFFFF"/>
        </w:rPr>
        <w:t xml:space="preserve">that even if the defendant’s right to testify, call and cross-examine witnesses was denied, it was </w:t>
      </w:r>
      <w:r w:rsidR="003F1DD8">
        <w:rPr>
          <w:rFonts w:ascii="Times New Roman" w:eastAsia="Times New Roman" w:hAnsi="Times New Roman" w:cs="Times New Roman"/>
          <w:color w:val="000000"/>
          <w:szCs w:val="24"/>
          <w:shd w:val="clear" w:color="auto" w:fill="FFFFFF"/>
        </w:rPr>
        <w:t xml:space="preserve">in </w:t>
      </w:r>
      <w:r w:rsidR="008D3EF4">
        <w:rPr>
          <w:rFonts w:ascii="Times New Roman" w:eastAsia="Times New Roman" w:hAnsi="Times New Roman" w:cs="Times New Roman"/>
          <w:color w:val="000000"/>
          <w:szCs w:val="24"/>
          <w:shd w:val="clear" w:color="auto" w:fill="FFFFFF"/>
        </w:rPr>
        <w:t xml:space="preserve">the </w:t>
      </w:r>
      <w:r w:rsidR="00F15866">
        <w:rPr>
          <w:rFonts w:ascii="Times New Roman" w:eastAsia="Times New Roman" w:hAnsi="Times New Roman" w:cs="Times New Roman"/>
          <w:color w:val="000000"/>
          <w:szCs w:val="24"/>
          <w:shd w:val="clear" w:color="auto" w:fill="FFFFFF"/>
        </w:rPr>
        <w:t xml:space="preserve">proper </w:t>
      </w:r>
      <w:r w:rsidR="008D3EF4">
        <w:rPr>
          <w:rFonts w:ascii="Times New Roman" w:eastAsia="Times New Roman" w:hAnsi="Times New Roman" w:cs="Times New Roman"/>
          <w:color w:val="000000"/>
          <w:szCs w:val="24"/>
          <w:shd w:val="clear" w:color="auto" w:fill="FFFFFF"/>
        </w:rPr>
        <w:t xml:space="preserve">discretion of the judge. </w:t>
      </w:r>
      <w:r w:rsidR="008D3EF4">
        <w:rPr>
          <w:rFonts w:ascii="Times New Roman" w:eastAsia="Times New Roman" w:hAnsi="Times New Roman" w:cs="Times New Roman"/>
          <w:i/>
          <w:iCs/>
          <w:color w:val="000000"/>
          <w:szCs w:val="24"/>
          <w:shd w:val="clear" w:color="auto" w:fill="FFFFFF"/>
        </w:rPr>
        <w:t xml:space="preserve">C.O., </w:t>
      </w:r>
      <w:r w:rsidR="008D3EF4">
        <w:rPr>
          <w:rFonts w:ascii="Times New Roman" w:eastAsia="Times New Roman" w:hAnsi="Times New Roman" w:cs="Times New Roman"/>
          <w:color w:val="000000"/>
          <w:szCs w:val="24"/>
          <w:shd w:val="clear" w:color="auto" w:fill="FFFFFF"/>
        </w:rPr>
        <w:t xml:space="preserve">442 Mass. at 657. The court disagreed: “While a defendant’s right to present evidence is not absolute, and…a judge may limit cross-examination for ‘good cause’ in certain situations…judicial discretion is not unlimited.” </w:t>
      </w:r>
      <w:r w:rsidR="008D3EF4">
        <w:rPr>
          <w:rFonts w:ascii="Times New Roman" w:eastAsia="Times New Roman" w:hAnsi="Times New Roman" w:cs="Times New Roman"/>
          <w:i/>
          <w:iCs/>
          <w:color w:val="000000"/>
          <w:szCs w:val="24"/>
          <w:shd w:val="clear" w:color="auto" w:fill="FFFFFF"/>
        </w:rPr>
        <w:t>Id.</w:t>
      </w:r>
      <w:r w:rsidR="00F15866">
        <w:rPr>
          <w:rFonts w:ascii="Times New Roman" w:eastAsia="Times New Roman" w:hAnsi="Times New Roman" w:cs="Times New Roman"/>
          <w:i/>
          <w:iCs/>
          <w:color w:val="000000"/>
          <w:szCs w:val="24"/>
          <w:shd w:val="clear" w:color="auto" w:fill="FFFFFF"/>
        </w:rPr>
        <w:t xml:space="preserve"> </w:t>
      </w:r>
    </w:p>
    <w:p w14:paraId="1694DB15" w14:textId="449326BB" w:rsidR="00671F30" w:rsidRPr="008F232E" w:rsidRDefault="0000698F" w:rsidP="008F232E">
      <w:pPr>
        <w:spacing w:after="0" w:line="480" w:lineRule="auto"/>
        <w:ind w:firstLine="720"/>
        <w:jc w:val="both"/>
        <w:rPr>
          <w:rFonts w:ascii="Times New Roman" w:eastAsia="Times New Roman" w:hAnsi="Times New Roman" w:cs="Times New Roman"/>
          <w:szCs w:val="24"/>
          <w:shd w:val="clear" w:color="auto" w:fill="FFFFFF"/>
        </w:rPr>
      </w:pPr>
      <w:r>
        <w:rPr>
          <w:rFonts w:ascii="Times New Roman" w:eastAsiaTheme="minorHAnsi" w:hAnsi="Times New Roman" w:cs="Times New Roman"/>
          <w:szCs w:val="24"/>
        </w:rPr>
        <w:t>In a</w:t>
      </w:r>
      <w:r w:rsidR="005B59A7" w:rsidRPr="008F232E">
        <w:rPr>
          <w:rFonts w:ascii="Times New Roman" w:eastAsiaTheme="minorHAnsi" w:hAnsi="Times New Roman" w:cs="Times New Roman"/>
          <w:szCs w:val="24"/>
        </w:rPr>
        <w:t xml:space="preserve"> California case, </w:t>
      </w:r>
      <w:r w:rsidR="005B59A7" w:rsidRPr="008F232E">
        <w:rPr>
          <w:rFonts w:ascii="Times New Roman" w:eastAsiaTheme="minorHAnsi" w:hAnsi="Times New Roman" w:cs="Times New Roman"/>
          <w:i/>
          <w:iCs/>
          <w:szCs w:val="24"/>
        </w:rPr>
        <w:t>In re Daniela G.,</w:t>
      </w:r>
      <w:r w:rsidR="00B5142A" w:rsidRPr="008F232E">
        <w:rPr>
          <w:rFonts w:ascii="Times New Roman" w:eastAsiaTheme="minorHAnsi" w:hAnsi="Times New Roman" w:cs="Times New Roman"/>
          <w:i/>
          <w:iCs/>
          <w:szCs w:val="24"/>
        </w:rPr>
        <w:t xml:space="preserve"> </w:t>
      </w:r>
      <w:r w:rsidR="00B5142A" w:rsidRPr="008F232E">
        <w:rPr>
          <w:rFonts w:ascii="Times New Roman" w:eastAsiaTheme="minorHAnsi" w:hAnsi="Times New Roman" w:cs="Times New Roman"/>
          <w:szCs w:val="24"/>
        </w:rPr>
        <w:t xml:space="preserve">the appeals court affirmed the lower court, finding that the exclusion of </w:t>
      </w:r>
      <w:r w:rsidR="00892CEE" w:rsidRPr="008F232E">
        <w:rPr>
          <w:rFonts w:ascii="Times New Roman" w:eastAsiaTheme="minorHAnsi" w:hAnsi="Times New Roman" w:cs="Times New Roman"/>
          <w:szCs w:val="24"/>
        </w:rPr>
        <w:t xml:space="preserve">a </w:t>
      </w:r>
      <w:r w:rsidR="00B5142A" w:rsidRPr="008F232E">
        <w:rPr>
          <w:rFonts w:ascii="Times New Roman" w:eastAsiaTheme="minorHAnsi" w:hAnsi="Times New Roman" w:cs="Times New Roman"/>
          <w:szCs w:val="24"/>
        </w:rPr>
        <w:t>minor’s testimony comported with due process.</w:t>
      </w:r>
      <w:r>
        <w:rPr>
          <w:rFonts w:ascii="Times New Roman" w:eastAsiaTheme="minorHAnsi" w:hAnsi="Times New Roman" w:cs="Times New Roman"/>
          <w:i/>
          <w:iCs/>
          <w:szCs w:val="24"/>
        </w:rPr>
        <w:t xml:space="preserve"> </w:t>
      </w:r>
      <w:r>
        <w:rPr>
          <w:rFonts w:ascii="Times New Roman" w:eastAsiaTheme="minorHAnsi" w:hAnsi="Times New Roman" w:cs="Times New Roman"/>
          <w:szCs w:val="24"/>
        </w:rPr>
        <w:t xml:space="preserve">The court found </w:t>
      </w:r>
      <w:r w:rsidR="00B5142A" w:rsidRPr="008F232E">
        <w:rPr>
          <w:rFonts w:ascii="Times New Roman" w:eastAsiaTheme="minorHAnsi" w:hAnsi="Times New Roman" w:cs="Times New Roman"/>
          <w:szCs w:val="24"/>
        </w:rPr>
        <w:t xml:space="preserve">that the </w:t>
      </w:r>
      <w:r w:rsidR="005665CA" w:rsidRPr="008F232E">
        <w:rPr>
          <w:rFonts w:ascii="Times New Roman" w:eastAsiaTheme="minorHAnsi" w:hAnsi="Times New Roman" w:cs="Times New Roman"/>
          <w:szCs w:val="24"/>
        </w:rPr>
        <w:t xml:space="preserve">juvenile court properly refused to compel minors to testify where the possible benefit of testimony was outweighed by the psychological harm it would cause to the minors. </w:t>
      </w:r>
      <w:r w:rsidR="005B59A7" w:rsidRPr="008F232E">
        <w:rPr>
          <w:rFonts w:ascii="Times New Roman" w:hAnsi="Times New Roman" w:cs="Times New Roman"/>
          <w:szCs w:val="24"/>
          <w:bdr w:val="none" w:sz="0" w:space="0" w:color="auto" w:frame="1"/>
        </w:rPr>
        <w:t xml:space="preserve">23 Cal.App.5th </w:t>
      </w:r>
      <w:r w:rsidR="002832C5" w:rsidRPr="008F232E">
        <w:rPr>
          <w:rFonts w:ascii="Times New Roman" w:hAnsi="Times New Roman" w:cs="Times New Roman"/>
          <w:szCs w:val="24"/>
          <w:bdr w:val="none" w:sz="0" w:space="0" w:color="auto" w:frame="1"/>
        </w:rPr>
        <w:t xml:space="preserve">at </w:t>
      </w:r>
      <w:r w:rsidR="005B59A7" w:rsidRPr="008F232E">
        <w:rPr>
          <w:rFonts w:ascii="Times New Roman" w:hAnsi="Times New Roman" w:cs="Times New Roman"/>
          <w:szCs w:val="24"/>
          <w:bdr w:val="none" w:sz="0" w:space="0" w:color="auto" w:frame="1"/>
        </w:rPr>
        <w:t>1083.</w:t>
      </w:r>
      <w:r w:rsidR="00B5142A" w:rsidRPr="008F232E">
        <w:rPr>
          <w:rFonts w:ascii="Times New Roman" w:hAnsi="Times New Roman" w:cs="Times New Roman"/>
          <w:szCs w:val="24"/>
          <w:bdr w:val="none" w:sz="0" w:space="0" w:color="auto" w:frame="1"/>
        </w:rPr>
        <w:t xml:space="preserve"> In this case, the </w:t>
      </w:r>
      <w:r w:rsidR="00892CEE" w:rsidRPr="008F232E">
        <w:rPr>
          <w:rFonts w:ascii="Times New Roman" w:hAnsi="Times New Roman" w:cs="Times New Roman"/>
          <w:szCs w:val="24"/>
          <w:bdr w:val="none" w:sz="0" w:space="0" w:color="auto" w:frame="1"/>
        </w:rPr>
        <w:t xml:space="preserve">plaintiff father was accused of molesting his stepdaughter and grooming his biological daughter, Daniela G., for sexual abuse. </w:t>
      </w:r>
      <w:r w:rsidR="00892CEE" w:rsidRPr="008F232E">
        <w:rPr>
          <w:rFonts w:ascii="Times New Roman" w:hAnsi="Times New Roman" w:cs="Times New Roman"/>
          <w:i/>
          <w:iCs/>
          <w:szCs w:val="24"/>
          <w:bdr w:val="none" w:sz="0" w:space="0" w:color="auto" w:frame="1"/>
        </w:rPr>
        <w:t xml:space="preserve">Daniela G., </w:t>
      </w:r>
      <w:r w:rsidR="00892CEE" w:rsidRPr="008F232E">
        <w:rPr>
          <w:rFonts w:ascii="Times New Roman" w:hAnsi="Times New Roman" w:cs="Times New Roman"/>
          <w:szCs w:val="24"/>
          <w:bdr w:val="none" w:sz="0" w:space="0" w:color="auto" w:frame="1"/>
        </w:rPr>
        <w:t>23 Cal.App.5th at 1086</w:t>
      </w:r>
      <w:r w:rsidR="003D51E2" w:rsidRPr="008F232E">
        <w:rPr>
          <w:rFonts w:ascii="Times New Roman" w:hAnsi="Times New Roman" w:cs="Times New Roman"/>
          <w:szCs w:val="24"/>
          <w:bdr w:val="none" w:sz="0" w:space="0" w:color="auto" w:frame="1"/>
        </w:rPr>
        <w:t>-1088.</w:t>
      </w:r>
      <w:r w:rsidR="00892CEE" w:rsidRPr="008F232E">
        <w:rPr>
          <w:rFonts w:ascii="Times New Roman" w:hAnsi="Times New Roman" w:cs="Times New Roman"/>
          <w:szCs w:val="24"/>
          <w:bdr w:val="none" w:sz="0" w:space="0" w:color="auto" w:frame="1"/>
        </w:rPr>
        <w:t xml:space="preserve"> </w:t>
      </w:r>
      <w:r w:rsidR="00DE3A30" w:rsidRPr="008F232E">
        <w:rPr>
          <w:rFonts w:ascii="Times New Roman" w:hAnsi="Times New Roman" w:cs="Times New Roman"/>
          <w:szCs w:val="24"/>
          <w:bdr w:val="none" w:sz="0" w:space="0" w:color="auto" w:frame="1"/>
        </w:rPr>
        <w:t>Two social workers</w:t>
      </w:r>
      <w:r>
        <w:rPr>
          <w:rFonts w:ascii="Times New Roman" w:hAnsi="Times New Roman" w:cs="Times New Roman"/>
          <w:szCs w:val="24"/>
          <w:bdr w:val="none" w:sz="0" w:space="0" w:color="auto" w:frame="1"/>
        </w:rPr>
        <w:t xml:space="preserve"> testified </w:t>
      </w:r>
      <w:r w:rsidR="00DE3A30" w:rsidRPr="008F232E">
        <w:rPr>
          <w:rFonts w:ascii="Times New Roman" w:hAnsi="Times New Roman" w:cs="Times New Roman"/>
          <w:szCs w:val="24"/>
          <w:bdr w:val="none" w:sz="0" w:space="0" w:color="auto" w:frame="1"/>
        </w:rPr>
        <w:t xml:space="preserve">that having the minor (Daniela G.) testify </w:t>
      </w:r>
      <w:r w:rsidR="00DE3A30" w:rsidRPr="008F232E">
        <w:rPr>
          <w:rFonts w:ascii="Times New Roman" w:eastAsiaTheme="minorHAnsi" w:hAnsi="Times New Roman" w:cs="Times New Roman"/>
          <w:szCs w:val="24"/>
        </w:rPr>
        <w:t xml:space="preserve">would be </w:t>
      </w:r>
      <w:r w:rsidR="003D51E2" w:rsidRPr="008F232E">
        <w:rPr>
          <w:rFonts w:ascii="Times New Roman" w:eastAsiaTheme="minorHAnsi" w:hAnsi="Times New Roman" w:cs="Times New Roman"/>
          <w:szCs w:val="24"/>
        </w:rPr>
        <w:t xml:space="preserve">“extremely </w:t>
      </w:r>
      <w:r w:rsidR="00DE3A30" w:rsidRPr="008F232E">
        <w:rPr>
          <w:rFonts w:ascii="Times New Roman" w:eastAsiaTheme="minorHAnsi" w:hAnsi="Times New Roman" w:cs="Times New Roman"/>
          <w:szCs w:val="24"/>
        </w:rPr>
        <w:t>detrimental</w:t>
      </w:r>
      <w:r w:rsidR="003D51E2" w:rsidRPr="008F232E">
        <w:rPr>
          <w:rFonts w:ascii="Times New Roman" w:eastAsiaTheme="minorHAnsi" w:hAnsi="Times New Roman" w:cs="Times New Roman"/>
          <w:szCs w:val="24"/>
        </w:rPr>
        <w:t>”</w:t>
      </w:r>
      <w:r w:rsidR="00DE3A30" w:rsidRPr="008F232E">
        <w:rPr>
          <w:rFonts w:ascii="Times New Roman" w:eastAsiaTheme="minorHAnsi" w:hAnsi="Times New Roman" w:cs="Times New Roman"/>
          <w:szCs w:val="24"/>
        </w:rPr>
        <w:t xml:space="preserve"> to her because of (1) age, and (2) the nature of the allegations. </w:t>
      </w:r>
      <w:r w:rsidR="003D51E2" w:rsidRPr="008F232E">
        <w:rPr>
          <w:rFonts w:ascii="Times New Roman" w:hAnsi="Times New Roman" w:cs="Times New Roman"/>
          <w:i/>
          <w:iCs/>
          <w:szCs w:val="24"/>
          <w:bdr w:val="none" w:sz="0" w:space="0" w:color="auto" w:frame="1"/>
        </w:rPr>
        <w:t xml:space="preserve">Daniela G., </w:t>
      </w:r>
      <w:r w:rsidR="003D51E2" w:rsidRPr="008F232E">
        <w:rPr>
          <w:rFonts w:ascii="Times New Roman" w:hAnsi="Times New Roman" w:cs="Times New Roman"/>
          <w:szCs w:val="24"/>
          <w:bdr w:val="none" w:sz="0" w:space="0" w:color="auto" w:frame="1"/>
        </w:rPr>
        <w:t xml:space="preserve">23 Cal.App.5th at 1089. </w:t>
      </w:r>
    </w:p>
    <w:p w14:paraId="5A69FA38" w14:textId="58A8A9B9" w:rsidR="00671F30" w:rsidRDefault="00892CEE" w:rsidP="00671F30">
      <w:pPr>
        <w:pStyle w:val="Heading3"/>
        <w:shd w:val="clear" w:color="auto" w:fill="FFFFFF"/>
        <w:spacing w:before="0" w:beforeAutospacing="0" w:after="0" w:afterAutospacing="0" w:line="480" w:lineRule="auto"/>
        <w:ind w:firstLine="720"/>
        <w:jc w:val="both"/>
        <w:textAlignment w:val="baseline"/>
        <w:rPr>
          <w:b w:val="0"/>
          <w:bCs w:val="0"/>
          <w:sz w:val="24"/>
          <w:szCs w:val="24"/>
          <w:bdr w:val="none" w:sz="0" w:space="0" w:color="auto" w:frame="1"/>
        </w:rPr>
      </w:pPr>
      <w:r w:rsidRPr="00671F30">
        <w:rPr>
          <w:b w:val="0"/>
          <w:bCs w:val="0"/>
          <w:sz w:val="24"/>
          <w:szCs w:val="24"/>
          <w:bdr w:val="none" w:sz="0" w:space="0" w:color="auto" w:frame="1"/>
        </w:rPr>
        <w:t xml:space="preserve">On appeal, the father argued that he was denied </w:t>
      </w:r>
      <w:r w:rsidR="00671F30" w:rsidRPr="00671F30">
        <w:rPr>
          <w:b w:val="0"/>
          <w:bCs w:val="0"/>
          <w:sz w:val="24"/>
          <w:szCs w:val="24"/>
          <w:bdr w:val="none" w:sz="0" w:space="0" w:color="auto" w:frame="1"/>
        </w:rPr>
        <w:t>his</w:t>
      </w:r>
      <w:r w:rsidR="0000698F">
        <w:rPr>
          <w:b w:val="0"/>
          <w:bCs w:val="0"/>
          <w:sz w:val="24"/>
          <w:szCs w:val="24"/>
          <w:bdr w:val="none" w:sz="0" w:space="0" w:color="auto" w:frame="1"/>
        </w:rPr>
        <w:t xml:space="preserve"> right to </w:t>
      </w:r>
      <w:r w:rsidRPr="00671F30">
        <w:rPr>
          <w:b w:val="0"/>
          <w:bCs w:val="0"/>
          <w:sz w:val="24"/>
          <w:szCs w:val="24"/>
          <w:bdr w:val="none" w:sz="0" w:space="0" w:color="auto" w:frame="1"/>
        </w:rPr>
        <w:t xml:space="preserve">due process because the juvenile court “refused to require” Daniela and her </w:t>
      </w:r>
      <w:r w:rsidR="00DE3A30" w:rsidRPr="00671F30">
        <w:rPr>
          <w:b w:val="0"/>
          <w:bCs w:val="0"/>
          <w:sz w:val="24"/>
          <w:szCs w:val="24"/>
          <w:bdr w:val="none" w:sz="0" w:space="0" w:color="auto" w:frame="1"/>
        </w:rPr>
        <w:t>stepsister</w:t>
      </w:r>
      <w:r w:rsidRPr="00671F30">
        <w:rPr>
          <w:b w:val="0"/>
          <w:bCs w:val="0"/>
          <w:sz w:val="24"/>
          <w:szCs w:val="24"/>
          <w:bdr w:val="none" w:sz="0" w:space="0" w:color="auto" w:frame="1"/>
        </w:rPr>
        <w:t xml:space="preserve"> to testify. </w:t>
      </w:r>
      <w:r w:rsidR="000950AD">
        <w:rPr>
          <w:b w:val="0"/>
          <w:bCs w:val="0"/>
          <w:i/>
          <w:iCs/>
          <w:sz w:val="24"/>
          <w:szCs w:val="24"/>
          <w:bdr w:val="none" w:sz="0" w:space="0" w:color="auto" w:frame="1"/>
        </w:rPr>
        <w:t xml:space="preserve">Daniela G., </w:t>
      </w:r>
      <w:r w:rsidR="000950AD" w:rsidRPr="005B59A7">
        <w:rPr>
          <w:b w:val="0"/>
          <w:bCs w:val="0"/>
          <w:sz w:val="24"/>
          <w:szCs w:val="24"/>
          <w:bdr w:val="none" w:sz="0" w:space="0" w:color="auto" w:frame="1"/>
        </w:rPr>
        <w:t xml:space="preserve">23 Cal.App.5th </w:t>
      </w:r>
      <w:r w:rsidR="000950AD">
        <w:rPr>
          <w:b w:val="0"/>
          <w:bCs w:val="0"/>
          <w:sz w:val="24"/>
          <w:szCs w:val="24"/>
          <w:bdr w:val="none" w:sz="0" w:space="0" w:color="auto" w:frame="1"/>
        </w:rPr>
        <w:t>at 1090.</w:t>
      </w:r>
      <w:r w:rsidRPr="00671F30">
        <w:rPr>
          <w:b w:val="0"/>
          <w:bCs w:val="0"/>
          <w:i/>
          <w:iCs/>
          <w:sz w:val="24"/>
          <w:szCs w:val="24"/>
          <w:bdr w:val="none" w:sz="0" w:space="0" w:color="auto" w:frame="1"/>
        </w:rPr>
        <w:t xml:space="preserve"> </w:t>
      </w:r>
      <w:r w:rsidR="00671F30" w:rsidRPr="00671F30">
        <w:rPr>
          <w:b w:val="0"/>
          <w:bCs w:val="0"/>
          <w:sz w:val="24"/>
          <w:szCs w:val="24"/>
          <w:bdr w:val="none" w:sz="0" w:space="0" w:color="auto" w:frame="1"/>
        </w:rPr>
        <w:t>The father claimed that there was “insufficient evidence” that testifying would hurt Daniela G.</w:t>
      </w:r>
      <w:r w:rsidR="000950AD">
        <w:rPr>
          <w:b w:val="0"/>
          <w:bCs w:val="0"/>
          <w:sz w:val="24"/>
          <w:szCs w:val="24"/>
          <w:bdr w:val="none" w:sz="0" w:space="0" w:color="auto" w:frame="1"/>
        </w:rPr>
        <w:t xml:space="preserve"> </w:t>
      </w:r>
      <w:r w:rsidR="000950AD">
        <w:rPr>
          <w:b w:val="0"/>
          <w:bCs w:val="0"/>
          <w:i/>
          <w:iCs/>
          <w:sz w:val="24"/>
          <w:szCs w:val="24"/>
          <w:bdr w:val="none" w:sz="0" w:space="0" w:color="auto" w:frame="1"/>
        </w:rPr>
        <w:t>Id.</w:t>
      </w:r>
      <w:r w:rsidR="00671F30" w:rsidRPr="00671F30">
        <w:rPr>
          <w:b w:val="0"/>
          <w:bCs w:val="0"/>
          <w:sz w:val="24"/>
          <w:szCs w:val="24"/>
          <w:bdr w:val="none" w:sz="0" w:space="0" w:color="auto" w:frame="1"/>
        </w:rPr>
        <w:t xml:space="preserve"> Moreover, the father claimed that his due process right to confront and cross-examine a witness was violated.</w:t>
      </w:r>
      <w:r w:rsidR="00D5683A">
        <w:rPr>
          <w:b w:val="0"/>
          <w:bCs w:val="0"/>
          <w:sz w:val="24"/>
          <w:szCs w:val="24"/>
          <w:bdr w:val="none" w:sz="0" w:space="0" w:color="auto" w:frame="1"/>
        </w:rPr>
        <w:t xml:space="preserve"> </w:t>
      </w:r>
      <w:r w:rsidR="00D5683A">
        <w:rPr>
          <w:b w:val="0"/>
          <w:bCs w:val="0"/>
          <w:i/>
          <w:iCs/>
          <w:sz w:val="24"/>
          <w:szCs w:val="24"/>
          <w:bdr w:val="none" w:sz="0" w:space="0" w:color="auto" w:frame="1"/>
        </w:rPr>
        <w:t>Id.</w:t>
      </w:r>
      <w:r w:rsidR="00671F30" w:rsidRPr="00671F30">
        <w:rPr>
          <w:b w:val="0"/>
          <w:bCs w:val="0"/>
          <w:sz w:val="24"/>
          <w:szCs w:val="24"/>
          <w:bdr w:val="none" w:sz="0" w:space="0" w:color="auto" w:frame="1"/>
        </w:rPr>
        <w:t xml:space="preserve"> </w:t>
      </w:r>
      <w:r w:rsidR="00671F30" w:rsidRPr="00671F30">
        <w:rPr>
          <w:rFonts w:eastAsiaTheme="minorHAnsi"/>
          <w:b w:val="0"/>
          <w:bCs w:val="0"/>
          <w:sz w:val="24"/>
          <w:szCs w:val="24"/>
        </w:rPr>
        <w:t>The court rejected these arguments and affirmed the lower court ruling</w:t>
      </w:r>
      <w:r w:rsidR="0000698F">
        <w:rPr>
          <w:rFonts w:eastAsiaTheme="minorHAnsi"/>
          <w:b w:val="0"/>
          <w:bCs w:val="0"/>
          <w:sz w:val="24"/>
          <w:szCs w:val="24"/>
        </w:rPr>
        <w:t xml:space="preserve"> in four respects</w:t>
      </w:r>
      <w:r w:rsidR="00671F30" w:rsidRPr="00671F30">
        <w:rPr>
          <w:rFonts w:eastAsiaTheme="minorHAnsi"/>
          <w:b w:val="0"/>
          <w:bCs w:val="0"/>
          <w:sz w:val="24"/>
          <w:szCs w:val="24"/>
        </w:rPr>
        <w:t xml:space="preserve">: (1) the </w:t>
      </w:r>
      <w:r w:rsidR="00671F30" w:rsidRPr="00671F30">
        <w:rPr>
          <w:b w:val="0"/>
          <w:bCs w:val="0"/>
          <w:sz w:val="24"/>
          <w:szCs w:val="24"/>
        </w:rPr>
        <w:t>testimony of child would not have materially affected</w:t>
      </w:r>
      <w:r w:rsidR="0000698F">
        <w:rPr>
          <w:b w:val="0"/>
          <w:bCs w:val="0"/>
          <w:sz w:val="24"/>
          <w:szCs w:val="24"/>
        </w:rPr>
        <w:t xml:space="preserve"> the </w:t>
      </w:r>
      <w:r w:rsidR="00671F30" w:rsidRPr="00671F30">
        <w:rPr>
          <w:b w:val="0"/>
          <w:bCs w:val="0"/>
          <w:sz w:val="24"/>
          <w:szCs w:val="24"/>
        </w:rPr>
        <w:t xml:space="preserve">juvenile court's resolution of issues; (2) </w:t>
      </w:r>
      <w:r w:rsidR="0000698F">
        <w:rPr>
          <w:b w:val="0"/>
          <w:bCs w:val="0"/>
          <w:sz w:val="24"/>
          <w:szCs w:val="24"/>
        </w:rPr>
        <w:t xml:space="preserve">the </w:t>
      </w:r>
      <w:r w:rsidR="00671F30" w:rsidRPr="00F22565">
        <w:rPr>
          <w:b w:val="0"/>
          <w:bCs w:val="0"/>
          <w:sz w:val="24"/>
          <w:szCs w:val="24"/>
        </w:rPr>
        <w:t xml:space="preserve">testimony of </w:t>
      </w:r>
      <w:r w:rsidR="0000698F">
        <w:rPr>
          <w:b w:val="0"/>
          <w:bCs w:val="0"/>
          <w:sz w:val="24"/>
          <w:szCs w:val="24"/>
        </w:rPr>
        <w:t xml:space="preserve">the </w:t>
      </w:r>
      <w:r w:rsidR="00671F30" w:rsidRPr="00F22565">
        <w:rPr>
          <w:b w:val="0"/>
          <w:bCs w:val="0"/>
          <w:sz w:val="24"/>
          <w:szCs w:val="24"/>
        </w:rPr>
        <w:t>stepdaughter would not have materially affected juvenile court's resolution of</w:t>
      </w:r>
      <w:r w:rsidR="0000698F">
        <w:rPr>
          <w:b w:val="0"/>
          <w:bCs w:val="0"/>
          <w:sz w:val="24"/>
          <w:szCs w:val="24"/>
        </w:rPr>
        <w:t xml:space="preserve"> the </w:t>
      </w:r>
      <w:r w:rsidR="00671F30" w:rsidRPr="00F22565">
        <w:rPr>
          <w:b w:val="0"/>
          <w:bCs w:val="0"/>
          <w:sz w:val="24"/>
          <w:szCs w:val="24"/>
        </w:rPr>
        <w:t>issues;</w:t>
      </w:r>
      <w:r w:rsidR="00671F30" w:rsidRPr="00671F30">
        <w:rPr>
          <w:b w:val="0"/>
          <w:bCs w:val="0"/>
          <w:sz w:val="24"/>
          <w:szCs w:val="24"/>
        </w:rPr>
        <w:t xml:space="preserve"> (3) </w:t>
      </w:r>
      <w:r w:rsidR="0000698F">
        <w:rPr>
          <w:b w:val="0"/>
          <w:bCs w:val="0"/>
          <w:sz w:val="24"/>
          <w:szCs w:val="24"/>
        </w:rPr>
        <w:t xml:space="preserve">the </w:t>
      </w:r>
      <w:r w:rsidR="00671F30" w:rsidRPr="00F22565">
        <w:rPr>
          <w:b w:val="0"/>
          <w:bCs w:val="0"/>
          <w:sz w:val="24"/>
          <w:szCs w:val="24"/>
        </w:rPr>
        <w:t>evidence was sufficient to demonstrate that testifying would have been psychologically harmful to child, so as to support exclusion of testimony; and</w:t>
      </w:r>
      <w:r w:rsidR="00671F30" w:rsidRPr="00671F30">
        <w:rPr>
          <w:b w:val="0"/>
          <w:bCs w:val="0"/>
          <w:sz w:val="24"/>
          <w:szCs w:val="24"/>
        </w:rPr>
        <w:t xml:space="preserve"> (4) </w:t>
      </w:r>
      <w:r w:rsidR="00671F30" w:rsidRPr="00F22565">
        <w:rPr>
          <w:b w:val="0"/>
          <w:bCs w:val="0"/>
          <w:sz w:val="24"/>
          <w:szCs w:val="24"/>
        </w:rPr>
        <w:t xml:space="preserve">evidence was sufficient to demonstrate that </w:t>
      </w:r>
      <w:r w:rsidR="0000698F">
        <w:rPr>
          <w:b w:val="0"/>
          <w:bCs w:val="0"/>
          <w:sz w:val="24"/>
          <w:szCs w:val="24"/>
        </w:rPr>
        <w:t xml:space="preserve">the </w:t>
      </w:r>
      <w:r w:rsidR="00671F30" w:rsidRPr="00F22565">
        <w:rPr>
          <w:b w:val="0"/>
          <w:bCs w:val="0"/>
          <w:sz w:val="24"/>
          <w:szCs w:val="24"/>
        </w:rPr>
        <w:t>stepdaughter would have been psychologically harmed by testifying, so as to support exclusion of her testimony.</w:t>
      </w:r>
      <w:r w:rsidR="00D5683A">
        <w:rPr>
          <w:b w:val="0"/>
          <w:bCs w:val="0"/>
          <w:sz w:val="24"/>
          <w:szCs w:val="24"/>
        </w:rPr>
        <w:t xml:space="preserve"> </w:t>
      </w:r>
      <w:r w:rsidR="00D5683A">
        <w:rPr>
          <w:b w:val="0"/>
          <w:bCs w:val="0"/>
          <w:i/>
          <w:iCs/>
          <w:sz w:val="24"/>
          <w:szCs w:val="24"/>
          <w:bdr w:val="none" w:sz="0" w:space="0" w:color="auto" w:frame="1"/>
        </w:rPr>
        <w:t xml:space="preserve">Daniela G., </w:t>
      </w:r>
      <w:r w:rsidR="00D5683A" w:rsidRPr="005B59A7">
        <w:rPr>
          <w:b w:val="0"/>
          <w:bCs w:val="0"/>
          <w:sz w:val="24"/>
          <w:szCs w:val="24"/>
          <w:bdr w:val="none" w:sz="0" w:space="0" w:color="auto" w:frame="1"/>
        </w:rPr>
        <w:t xml:space="preserve">23 Cal.App.5th </w:t>
      </w:r>
      <w:r w:rsidR="00D5683A">
        <w:rPr>
          <w:b w:val="0"/>
          <w:bCs w:val="0"/>
          <w:sz w:val="24"/>
          <w:szCs w:val="24"/>
          <w:bdr w:val="none" w:sz="0" w:space="0" w:color="auto" w:frame="1"/>
        </w:rPr>
        <w:t>at 1086.</w:t>
      </w:r>
    </w:p>
    <w:p w14:paraId="0E043034" w14:textId="347F4D9D" w:rsidR="00642D4B" w:rsidRDefault="0000698F" w:rsidP="00642D4B">
      <w:pPr>
        <w:pStyle w:val="Heading3"/>
        <w:shd w:val="clear" w:color="auto" w:fill="FFFFFF"/>
        <w:spacing w:before="0" w:beforeAutospacing="0" w:after="0" w:afterAutospacing="0" w:line="480" w:lineRule="auto"/>
        <w:ind w:firstLine="720"/>
        <w:jc w:val="both"/>
        <w:textAlignment w:val="baseline"/>
        <w:rPr>
          <w:b w:val="0"/>
          <w:bCs w:val="0"/>
          <w:i/>
          <w:iCs/>
          <w:sz w:val="24"/>
          <w:szCs w:val="24"/>
          <w:bdr w:val="none" w:sz="0" w:space="0" w:color="auto" w:frame="1"/>
        </w:rPr>
      </w:pPr>
      <w:r>
        <w:rPr>
          <w:b w:val="0"/>
          <w:bCs w:val="0"/>
          <w:sz w:val="24"/>
          <w:szCs w:val="24"/>
          <w:bdr w:val="none" w:sz="0" w:space="0" w:color="auto" w:frame="1"/>
        </w:rPr>
        <w:t xml:space="preserve">The father also argued that the child should not have been allowed to testify in chambers. </w:t>
      </w:r>
      <w:r w:rsidR="00642D4B">
        <w:rPr>
          <w:b w:val="0"/>
          <w:bCs w:val="0"/>
          <w:sz w:val="24"/>
          <w:szCs w:val="24"/>
          <w:bdr w:val="none" w:sz="0" w:space="0" w:color="auto" w:frame="1"/>
        </w:rPr>
        <w:t xml:space="preserve">A minor can testify in separate chambers, “without a parent present” in certain circumstances. </w:t>
      </w:r>
      <w:r w:rsidR="00642D4B">
        <w:rPr>
          <w:b w:val="0"/>
          <w:bCs w:val="0"/>
          <w:i/>
          <w:iCs/>
          <w:sz w:val="24"/>
          <w:szCs w:val="24"/>
          <w:bdr w:val="none" w:sz="0" w:space="0" w:color="auto" w:frame="1"/>
        </w:rPr>
        <w:t xml:space="preserve">Daniela G., </w:t>
      </w:r>
      <w:r w:rsidR="00642D4B" w:rsidRPr="005B59A7">
        <w:rPr>
          <w:b w:val="0"/>
          <w:bCs w:val="0"/>
          <w:sz w:val="24"/>
          <w:szCs w:val="24"/>
          <w:bdr w:val="none" w:sz="0" w:space="0" w:color="auto" w:frame="1"/>
        </w:rPr>
        <w:t xml:space="preserve">23 Cal.App.5th </w:t>
      </w:r>
      <w:r w:rsidR="00642D4B">
        <w:rPr>
          <w:b w:val="0"/>
          <w:bCs w:val="0"/>
          <w:sz w:val="24"/>
          <w:szCs w:val="24"/>
          <w:bdr w:val="none" w:sz="0" w:space="0" w:color="auto" w:frame="1"/>
        </w:rPr>
        <w:t xml:space="preserve">at 1090. Because the father raised this argument on appeal, but not in juvenile court, the appeals court agreed that he “forfeited this argument by not raising it below.” </w:t>
      </w:r>
      <w:r w:rsidR="00642D4B">
        <w:rPr>
          <w:b w:val="0"/>
          <w:bCs w:val="0"/>
          <w:i/>
          <w:iCs/>
          <w:sz w:val="24"/>
          <w:szCs w:val="24"/>
          <w:bdr w:val="none" w:sz="0" w:space="0" w:color="auto" w:frame="1"/>
        </w:rPr>
        <w:t xml:space="preserve">Id. </w:t>
      </w:r>
      <w:r w:rsidR="00642D4B">
        <w:rPr>
          <w:b w:val="0"/>
          <w:bCs w:val="0"/>
          <w:sz w:val="24"/>
          <w:szCs w:val="24"/>
          <w:bdr w:val="none" w:sz="0" w:space="0" w:color="auto" w:frame="1"/>
        </w:rPr>
        <w:t xml:space="preserve">The court is also not required to make a minor testify in chambers if they are not allowed to testify in court. </w:t>
      </w:r>
      <w:r w:rsidR="00642D4B">
        <w:rPr>
          <w:b w:val="0"/>
          <w:bCs w:val="0"/>
          <w:i/>
          <w:iCs/>
          <w:sz w:val="24"/>
          <w:szCs w:val="24"/>
          <w:bdr w:val="none" w:sz="0" w:space="0" w:color="auto" w:frame="1"/>
        </w:rPr>
        <w:t xml:space="preserve">Id. </w:t>
      </w:r>
    </w:p>
    <w:p w14:paraId="620CAE29" w14:textId="6B6A10AB" w:rsidR="00463F15" w:rsidRPr="008F232E" w:rsidRDefault="00642D4B" w:rsidP="008F232E">
      <w:pPr>
        <w:pStyle w:val="Heading3"/>
        <w:shd w:val="clear" w:color="auto" w:fill="FFFFFF"/>
        <w:spacing w:before="0" w:beforeAutospacing="0" w:after="0" w:afterAutospacing="0" w:line="480" w:lineRule="auto"/>
        <w:ind w:firstLine="720"/>
        <w:jc w:val="both"/>
        <w:textAlignment w:val="baseline"/>
        <w:rPr>
          <w:rFonts w:eastAsiaTheme="minorHAnsi"/>
          <w:b w:val="0"/>
          <w:bCs w:val="0"/>
          <w:i/>
          <w:iCs/>
          <w:sz w:val="24"/>
          <w:szCs w:val="24"/>
        </w:rPr>
      </w:pPr>
      <w:r>
        <w:rPr>
          <w:b w:val="0"/>
          <w:bCs w:val="0"/>
          <w:sz w:val="24"/>
          <w:szCs w:val="24"/>
          <w:bdr w:val="none" w:sz="0" w:space="0" w:color="auto" w:frame="1"/>
        </w:rPr>
        <w:t>The court also spoke to this not being an argument of unavailability under Section 240,</w:t>
      </w:r>
      <w:r w:rsidR="006127B5" w:rsidRPr="006127B5">
        <w:rPr>
          <w:rStyle w:val="FootnoteReference"/>
          <w:b w:val="0"/>
          <w:bCs w:val="0"/>
          <w:sz w:val="24"/>
          <w:szCs w:val="24"/>
          <w:bdr w:val="none" w:sz="0" w:space="0" w:color="auto" w:frame="1"/>
        </w:rPr>
        <w:t xml:space="preserve"> </w:t>
      </w:r>
      <w:r w:rsidR="006127B5">
        <w:rPr>
          <w:rStyle w:val="FootnoteReference"/>
          <w:b w:val="0"/>
          <w:bCs w:val="0"/>
          <w:sz w:val="24"/>
          <w:szCs w:val="24"/>
          <w:bdr w:val="none" w:sz="0" w:space="0" w:color="auto" w:frame="1"/>
        </w:rPr>
        <w:footnoteReference w:id="1"/>
      </w:r>
      <w:r>
        <w:rPr>
          <w:b w:val="0"/>
          <w:bCs w:val="0"/>
          <w:sz w:val="24"/>
          <w:szCs w:val="24"/>
          <w:bdr w:val="none" w:sz="0" w:space="0" w:color="auto" w:frame="1"/>
        </w:rPr>
        <w:t xml:space="preserve"> but an argument of discretion: “…</w:t>
      </w:r>
      <w:r w:rsidRPr="00642D4B">
        <w:rPr>
          <w:b w:val="0"/>
          <w:bCs w:val="0"/>
          <w:sz w:val="24"/>
          <w:szCs w:val="24"/>
          <w:shd w:val="clear" w:color="auto" w:fill="FFFFFF"/>
        </w:rPr>
        <w:t>a juvenile court has discretion to refuse to require a child to testify even when </w:t>
      </w:r>
      <w:hyperlink r:id="rId9" w:history="1">
        <w:r w:rsidRPr="00642D4B">
          <w:rPr>
            <w:rStyle w:val="Hyperlink"/>
            <w:b w:val="0"/>
            <w:bCs w:val="0"/>
            <w:color w:val="auto"/>
            <w:sz w:val="24"/>
            <w:szCs w:val="24"/>
            <w:u w:val="none"/>
            <w:bdr w:val="none" w:sz="0" w:space="0" w:color="auto" w:frame="1"/>
            <w:shd w:val="clear" w:color="auto" w:fill="FFFFFF"/>
          </w:rPr>
          <w:t>section 240</w:t>
        </w:r>
      </w:hyperlink>
      <w:r w:rsidRPr="00642D4B">
        <w:rPr>
          <w:b w:val="0"/>
          <w:bCs w:val="0"/>
          <w:sz w:val="24"/>
          <w:szCs w:val="24"/>
          <w:shd w:val="clear" w:color="auto" w:fill="FFFFFF"/>
        </w:rPr>
        <w:t>'s requirements are not met if the material effect of the child's testimony on the relevant issues is outweighed by the psychological injury the child risks by testifying.</w:t>
      </w:r>
      <w:r>
        <w:rPr>
          <w:b w:val="0"/>
          <w:bCs w:val="0"/>
          <w:sz w:val="24"/>
          <w:szCs w:val="24"/>
          <w:shd w:val="clear" w:color="auto" w:fill="FFFFFF"/>
        </w:rPr>
        <w:t xml:space="preserve">” </w:t>
      </w:r>
      <w:r>
        <w:rPr>
          <w:b w:val="0"/>
          <w:bCs w:val="0"/>
          <w:i/>
          <w:iCs/>
          <w:sz w:val="24"/>
          <w:szCs w:val="24"/>
          <w:bdr w:val="none" w:sz="0" w:space="0" w:color="auto" w:frame="1"/>
        </w:rPr>
        <w:t xml:space="preserve">Daniela G., </w:t>
      </w:r>
      <w:r w:rsidRPr="005B59A7">
        <w:rPr>
          <w:b w:val="0"/>
          <w:bCs w:val="0"/>
          <w:sz w:val="24"/>
          <w:szCs w:val="24"/>
          <w:bdr w:val="none" w:sz="0" w:space="0" w:color="auto" w:frame="1"/>
        </w:rPr>
        <w:t xml:space="preserve">23 Cal.App.5th </w:t>
      </w:r>
      <w:r>
        <w:rPr>
          <w:b w:val="0"/>
          <w:bCs w:val="0"/>
          <w:sz w:val="24"/>
          <w:szCs w:val="24"/>
          <w:bdr w:val="none" w:sz="0" w:space="0" w:color="auto" w:frame="1"/>
        </w:rPr>
        <w:t xml:space="preserve">at 1091. In their decision, the appeals court looked to the principles in another case, </w:t>
      </w:r>
      <w:r>
        <w:rPr>
          <w:b w:val="0"/>
          <w:bCs w:val="0"/>
          <w:i/>
          <w:iCs/>
          <w:sz w:val="24"/>
          <w:szCs w:val="24"/>
          <w:bdr w:val="none" w:sz="0" w:space="0" w:color="auto" w:frame="1"/>
        </w:rPr>
        <w:t>Jennifer J.,</w:t>
      </w:r>
      <w:r w:rsidR="007D7871">
        <w:rPr>
          <w:b w:val="0"/>
          <w:bCs w:val="0"/>
          <w:i/>
          <w:iCs/>
          <w:sz w:val="24"/>
          <w:szCs w:val="24"/>
          <w:bdr w:val="none" w:sz="0" w:space="0" w:color="auto" w:frame="1"/>
        </w:rPr>
        <w:t xml:space="preserve"> </w:t>
      </w:r>
      <w:r w:rsidR="007D7871">
        <w:rPr>
          <w:b w:val="0"/>
          <w:bCs w:val="0"/>
          <w:sz w:val="24"/>
          <w:szCs w:val="24"/>
          <w:bdr w:val="none" w:sz="0" w:space="0" w:color="auto" w:frame="1"/>
        </w:rPr>
        <w:t xml:space="preserve">8 Cal.App.4th at 1085-1086, 1088 (1992). </w:t>
      </w:r>
      <w:r w:rsidR="003932A9">
        <w:rPr>
          <w:b w:val="0"/>
          <w:bCs w:val="0"/>
          <w:sz w:val="24"/>
          <w:szCs w:val="24"/>
          <w:bdr w:val="none" w:sz="0" w:space="0" w:color="auto" w:frame="1"/>
        </w:rPr>
        <w:t xml:space="preserve">Some of these factors include whether “the child is competent to testify” and whether the child “is both practically and legally ‘available’ to testify.” </w:t>
      </w:r>
      <w:r w:rsidR="003932A9">
        <w:rPr>
          <w:b w:val="0"/>
          <w:bCs w:val="0"/>
          <w:i/>
          <w:iCs/>
          <w:sz w:val="24"/>
          <w:szCs w:val="24"/>
          <w:bdr w:val="none" w:sz="0" w:space="0" w:color="auto" w:frame="1"/>
        </w:rPr>
        <w:t xml:space="preserve">Daniela G., </w:t>
      </w:r>
      <w:r w:rsidR="003932A9" w:rsidRPr="005B59A7">
        <w:rPr>
          <w:b w:val="0"/>
          <w:bCs w:val="0"/>
          <w:sz w:val="24"/>
          <w:szCs w:val="24"/>
          <w:bdr w:val="none" w:sz="0" w:space="0" w:color="auto" w:frame="1"/>
        </w:rPr>
        <w:t xml:space="preserve">23 Cal.App.5th </w:t>
      </w:r>
      <w:r w:rsidR="003932A9">
        <w:rPr>
          <w:b w:val="0"/>
          <w:bCs w:val="0"/>
          <w:sz w:val="24"/>
          <w:szCs w:val="24"/>
          <w:bdr w:val="none" w:sz="0" w:space="0" w:color="auto" w:frame="1"/>
        </w:rPr>
        <w:t xml:space="preserve">at 1092. </w:t>
      </w:r>
      <w:r w:rsidR="006E744C">
        <w:rPr>
          <w:b w:val="0"/>
          <w:bCs w:val="0"/>
          <w:sz w:val="24"/>
          <w:szCs w:val="24"/>
          <w:bdr w:val="none" w:sz="0" w:space="0" w:color="auto" w:frame="1"/>
        </w:rPr>
        <w:t xml:space="preserve">This, in conjunction with the appeals court finding there was sufficient evidence of harm, led to holding that the </w:t>
      </w:r>
      <w:r w:rsidR="008351F0" w:rsidRPr="006E744C">
        <w:rPr>
          <w:rFonts w:eastAsiaTheme="minorHAnsi"/>
          <w:b w:val="0"/>
          <w:bCs w:val="0"/>
          <w:sz w:val="24"/>
          <w:szCs w:val="24"/>
        </w:rPr>
        <w:t>juvenile court</w:t>
      </w:r>
      <w:r w:rsidR="006E744C">
        <w:rPr>
          <w:rFonts w:eastAsiaTheme="minorHAnsi"/>
          <w:b w:val="0"/>
          <w:bCs w:val="0"/>
          <w:sz w:val="24"/>
          <w:szCs w:val="24"/>
        </w:rPr>
        <w:t xml:space="preserve"> here</w:t>
      </w:r>
      <w:r w:rsidR="008351F0" w:rsidRPr="006E744C">
        <w:rPr>
          <w:rFonts w:eastAsiaTheme="minorHAnsi"/>
          <w:b w:val="0"/>
          <w:bCs w:val="0"/>
          <w:sz w:val="24"/>
          <w:szCs w:val="24"/>
        </w:rPr>
        <w:t xml:space="preserve"> </w:t>
      </w:r>
      <w:r w:rsidR="006E744C">
        <w:rPr>
          <w:rFonts w:eastAsiaTheme="minorHAnsi"/>
          <w:b w:val="0"/>
          <w:bCs w:val="0"/>
          <w:sz w:val="24"/>
          <w:szCs w:val="24"/>
        </w:rPr>
        <w:t xml:space="preserve">used proper </w:t>
      </w:r>
      <w:r w:rsidR="008351F0" w:rsidRPr="006E744C">
        <w:rPr>
          <w:rFonts w:eastAsiaTheme="minorHAnsi"/>
          <w:b w:val="0"/>
          <w:bCs w:val="0"/>
          <w:sz w:val="24"/>
          <w:szCs w:val="24"/>
        </w:rPr>
        <w:t xml:space="preserve">discretion </w:t>
      </w:r>
      <w:r w:rsidR="006E744C">
        <w:rPr>
          <w:rFonts w:eastAsiaTheme="minorHAnsi"/>
          <w:b w:val="0"/>
          <w:bCs w:val="0"/>
          <w:sz w:val="24"/>
          <w:szCs w:val="24"/>
        </w:rPr>
        <w:t>in</w:t>
      </w:r>
      <w:r w:rsidR="008351F0" w:rsidRPr="006E744C">
        <w:rPr>
          <w:rFonts w:eastAsiaTheme="minorHAnsi"/>
          <w:b w:val="0"/>
          <w:bCs w:val="0"/>
          <w:sz w:val="24"/>
          <w:szCs w:val="24"/>
        </w:rPr>
        <w:t xml:space="preserve"> refus</w:t>
      </w:r>
      <w:r w:rsidR="006E744C">
        <w:rPr>
          <w:rFonts w:eastAsiaTheme="minorHAnsi"/>
          <w:b w:val="0"/>
          <w:bCs w:val="0"/>
          <w:sz w:val="24"/>
          <w:szCs w:val="24"/>
        </w:rPr>
        <w:t>ing</w:t>
      </w:r>
      <w:r w:rsidR="008351F0" w:rsidRPr="006E744C">
        <w:rPr>
          <w:rFonts w:eastAsiaTheme="minorHAnsi"/>
          <w:b w:val="0"/>
          <w:bCs w:val="0"/>
          <w:sz w:val="24"/>
          <w:szCs w:val="24"/>
        </w:rPr>
        <w:t xml:space="preserve"> to require a minor to testify</w:t>
      </w:r>
      <w:r w:rsidR="006E744C">
        <w:rPr>
          <w:rFonts w:eastAsiaTheme="minorHAnsi"/>
          <w:b w:val="0"/>
          <w:bCs w:val="0"/>
          <w:sz w:val="24"/>
          <w:szCs w:val="24"/>
        </w:rPr>
        <w:t>, because</w:t>
      </w:r>
      <w:r w:rsidR="008351F0" w:rsidRPr="006E744C">
        <w:rPr>
          <w:rFonts w:eastAsiaTheme="minorHAnsi"/>
          <w:b w:val="0"/>
          <w:bCs w:val="0"/>
          <w:sz w:val="24"/>
          <w:szCs w:val="24"/>
        </w:rPr>
        <w:t xml:space="preserve"> the material effect of the testimony </w:t>
      </w:r>
      <w:r w:rsidR="006E744C">
        <w:rPr>
          <w:rFonts w:eastAsiaTheme="minorHAnsi"/>
          <w:b w:val="0"/>
          <w:bCs w:val="0"/>
          <w:sz w:val="24"/>
          <w:szCs w:val="24"/>
        </w:rPr>
        <w:t xml:space="preserve">was </w:t>
      </w:r>
      <w:r w:rsidR="008351F0" w:rsidRPr="006E744C">
        <w:rPr>
          <w:rFonts w:eastAsiaTheme="minorHAnsi"/>
          <w:b w:val="0"/>
          <w:bCs w:val="0"/>
          <w:sz w:val="24"/>
          <w:szCs w:val="24"/>
        </w:rPr>
        <w:t>outweighed by the psychological harm to the child</w:t>
      </w:r>
      <w:r w:rsidR="002451AC">
        <w:rPr>
          <w:rFonts w:eastAsiaTheme="minorHAnsi"/>
          <w:b w:val="0"/>
          <w:bCs w:val="0"/>
          <w:sz w:val="24"/>
          <w:szCs w:val="24"/>
        </w:rPr>
        <w:t xml:space="preserve">. </w:t>
      </w:r>
      <w:r w:rsidR="003932A9">
        <w:rPr>
          <w:b w:val="0"/>
          <w:bCs w:val="0"/>
          <w:i/>
          <w:iCs/>
          <w:sz w:val="24"/>
          <w:szCs w:val="24"/>
          <w:bdr w:val="none" w:sz="0" w:space="0" w:color="auto" w:frame="1"/>
        </w:rPr>
        <w:t>Id</w:t>
      </w:r>
      <w:r w:rsidR="002451AC">
        <w:rPr>
          <w:b w:val="0"/>
          <w:bCs w:val="0"/>
          <w:sz w:val="24"/>
          <w:szCs w:val="24"/>
          <w:bdr w:val="none" w:sz="0" w:space="0" w:color="auto" w:frame="1"/>
        </w:rPr>
        <w:t xml:space="preserve">. </w:t>
      </w:r>
      <w:r w:rsidR="002451AC">
        <w:rPr>
          <w:rFonts w:eastAsiaTheme="minorHAnsi"/>
          <w:b w:val="0"/>
          <w:bCs w:val="0"/>
          <w:sz w:val="24"/>
          <w:szCs w:val="24"/>
        </w:rPr>
        <w:t xml:space="preserve">Even if the evidence is relevant, the goal is to </w:t>
      </w:r>
      <w:r w:rsidR="003932A9">
        <w:rPr>
          <w:rFonts w:eastAsiaTheme="minorHAnsi"/>
          <w:b w:val="0"/>
          <w:bCs w:val="0"/>
          <w:sz w:val="24"/>
          <w:szCs w:val="24"/>
        </w:rPr>
        <w:t>“preserve and promote the best interests of the child.”</w:t>
      </w:r>
      <w:r w:rsidR="002451AC">
        <w:rPr>
          <w:rFonts w:eastAsiaTheme="minorHAnsi"/>
          <w:b w:val="0"/>
          <w:bCs w:val="0"/>
          <w:sz w:val="24"/>
          <w:szCs w:val="24"/>
        </w:rPr>
        <w:t xml:space="preserve"> </w:t>
      </w:r>
      <w:r w:rsidR="006E744C">
        <w:rPr>
          <w:rFonts w:eastAsiaTheme="minorHAnsi"/>
          <w:b w:val="0"/>
          <w:bCs w:val="0"/>
          <w:i/>
          <w:iCs/>
          <w:sz w:val="24"/>
          <w:szCs w:val="24"/>
        </w:rPr>
        <w:t xml:space="preserve">Id. </w:t>
      </w:r>
      <w:r w:rsidR="006E744C">
        <w:rPr>
          <w:rFonts w:eastAsiaTheme="minorHAnsi"/>
          <w:b w:val="0"/>
          <w:bCs w:val="0"/>
          <w:sz w:val="24"/>
          <w:szCs w:val="24"/>
        </w:rPr>
        <w:t>Additionally, while the parents “have a fundamental liberty interest” in the care of their children, and a due process right to “a meaningful hearing,” they do not have the same</w:t>
      </w:r>
      <w:r w:rsidR="002451AC">
        <w:rPr>
          <w:rFonts w:eastAsiaTheme="minorHAnsi"/>
          <w:b w:val="0"/>
          <w:bCs w:val="0"/>
          <w:sz w:val="24"/>
          <w:szCs w:val="24"/>
        </w:rPr>
        <w:t xml:space="preserve"> Sixth Amendment</w:t>
      </w:r>
      <w:r w:rsidR="006E744C">
        <w:rPr>
          <w:rFonts w:eastAsiaTheme="minorHAnsi"/>
          <w:b w:val="0"/>
          <w:bCs w:val="0"/>
          <w:sz w:val="24"/>
          <w:szCs w:val="24"/>
        </w:rPr>
        <w:t xml:space="preserve"> right to “full confrontation and cross-examination” the way a criminal defendant does. </w:t>
      </w:r>
      <w:r w:rsidR="006E744C">
        <w:rPr>
          <w:b w:val="0"/>
          <w:bCs w:val="0"/>
          <w:i/>
          <w:iCs/>
          <w:sz w:val="24"/>
          <w:szCs w:val="24"/>
          <w:bdr w:val="none" w:sz="0" w:space="0" w:color="auto" w:frame="1"/>
        </w:rPr>
        <w:t xml:space="preserve">Daniela G., </w:t>
      </w:r>
      <w:r w:rsidR="006E744C" w:rsidRPr="005B59A7">
        <w:rPr>
          <w:b w:val="0"/>
          <w:bCs w:val="0"/>
          <w:sz w:val="24"/>
          <w:szCs w:val="24"/>
          <w:bdr w:val="none" w:sz="0" w:space="0" w:color="auto" w:frame="1"/>
        </w:rPr>
        <w:t xml:space="preserve">23 Cal.App.5th </w:t>
      </w:r>
      <w:r w:rsidR="006E744C">
        <w:rPr>
          <w:b w:val="0"/>
          <w:bCs w:val="0"/>
          <w:sz w:val="24"/>
          <w:szCs w:val="24"/>
          <w:bdr w:val="none" w:sz="0" w:space="0" w:color="auto" w:frame="1"/>
        </w:rPr>
        <w:t>at 1092.</w:t>
      </w:r>
    </w:p>
    <w:p w14:paraId="043975A2" w14:textId="6F15ECEE" w:rsidR="005B41A1" w:rsidRDefault="005B41A1" w:rsidP="00892CEE">
      <w:pPr>
        <w:pStyle w:val="NoSpacing"/>
        <w:ind w:firstLine="720"/>
        <w:rPr>
          <w:rFonts w:ascii="Times New Roman" w:hAnsi="Times New Roman" w:cs="Times New Roman"/>
          <w:b/>
          <w:bCs/>
        </w:rPr>
      </w:pPr>
      <w:r>
        <w:rPr>
          <w:rFonts w:ascii="Times New Roman" w:hAnsi="Times New Roman" w:cs="Times New Roman"/>
          <w:b/>
          <w:bCs/>
        </w:rPr>
        <w:t xml:space="preserve">II. RIGHT TO PRESENT EVIDENCE </w:t>
      </w:r>
    </w:p>
    <w:p w14:paraId="7B8F83F3" w14:textId="77777777" w:rsidR="005B59A7" w:rsidRDefault="005B59A7" w:rsidP="008F232E">
      <w:pPr>
        <w:spacing w:after="0" w:line="240" w:lineRule="auto"/>
        <w:rPr>
          <w:rFonts w:ascii="Times New Roman" w:eastAsia="Times New Roman" w:hAnsi="Times New Roman" w:cs="Times New Roman"/>
          <w:color w:val="000000"/>
          <w:szCs w:val="24"/>
          <w:shd w:val="clear" w:color="auto" w:fill="FFFFFF"/>
        </w:rPr>
      </w:pPr>
    </w:p>
    <w:p w14:paraId="586818D0" w14:textId="7656D727" w:rsidR="00463F15" w:rsidRPr="009B317A" w:rsidRDefault="005B59A7" w:rsidP="009B317A">
      <w:pPr>
        <w:spacing w:after="0" w:line="480" w:lineRule="auto"/>
        <w:ind w:firstLine="720"/>
        <w:jc w:val="both"/>
        <w:rPr>
          <w:rFonts w:ascii="Times New Roman" w:eastAsia="Times New Roman" w:hAnsi="Times New Roman" w:cs="Times New Roman"/>
          <w:i/>
          <w:iCs/>
          <w:color w:val="000000"/>
          <w:szCs w:val="24"/>
          <w:shd w:val="clear" w:color="auto" w:fill="FFFFFF"/>
        </w:rPr>
      </w:pPr>
      <w:r>
        <w:rPr>
          <w:rFonts w:ascii="Times New Roman" w:eastAsia="Times New Roman" w:hAnsi="Times New Roman" w:cs="Times New Roman"/>
          <w:color w:val="000000"/>
          <w:szCs w:val="24"/>
          <w:shd w:val="clear" w:color="auto" w:fill="FFFFFF"/>
        </w:rPr>
        <w:t xml:space="preserve">The opinion </w:t>
      </w:r>
      <w:r w:rsidR="00A358D1">
        <w:rPr>
          <w:rFonts w:ascii="Times New Roman" w:eastAsia="Times New Roman" w:hAnsi="Times New Roman" w:cs="Times New Roman"/>
          <w:color w:val="000000"/>
          <w:szCs w:val="24"/>
          <w:shd w:val="clear" w:color="auto" w:fill="FFFFFF"/>
        </w:rPr>
        <w:t xml:space="preserve">in </w:t>
      </w:r>
      <w:r w:rsidR="008F232E">
        <w:rPr>
          <w:rFonts w:ascii="Times New Roman" w:eastAsia="Times New Roman" w:hAnsi="Times New Roman" w:cs="Times New Roman"/>
          <w:i/>
          <w:iCs/>
          <w:color w:val="000000"/>
          <w:szCs w:val="24"/>
          <w:shd w:val="clear" w:color="auto" w:fill="FFFFFF"/>
        </w:rPr>
        <w:t xml:space="preserve">C.O. </w:t>
      </w:r>
      <w:r w:rsidR="00A358D1">
        <w:rPr>
          <w:rFonts w:ascii="Times New Roman" w:eastAsia="Times New Roman" w:hAnsi="Times New Roman" w:cs="Times New Roman"/>
          <w:color w:val="000000"/>
          <w:szCs w:val="24"/>
          <w:shd w:val="clear" w:color="auto" w:fill="FFFFFF"/>
        </w:rPr>
        <w:t xml:space="preserve">held </w:t>
      </w:r>
      <w:r>
        <w:rPr>
          <w:rFonts w:ascii="Times New Roman" w:eastAsia="Times New Roman" w:hAnsi="Times New Roman" w:cs="Times New Roman"/>
          <w:color w:val="000000"/>
          <w:szCs w:val="24"/>
          <w:shd w:val="clear" w:color="auto" w:fill="FFFFFF"/>
        </w:rPr>
        <w:t xml:space="preserve">that “[t]he defendant was never permitted to present evidence,” despite his counsel arguing for that right. 442 Mass. at 657. The court reasonably pointed out that counsel being able to argue for the right was </w:t>
      </w:r>
      <w:r>
        <w:rPr>
          <w:rFonts w:ascii="Times New Roman" w:eastAsia="Times New Roman" w:hAnsi="Times New Roman" w:cs="Times New Roman"/>
          <w:i/>
          <w:iCs/>
          <w:color w:val="000000"/>
          <w:szCs w:val="24"/>
          <w:shd w:val="clear" w:color="auto" w:fill="FFFFFF"/>
        </w:rPr>
        <w:t xml:space="preserve">not </w:t>
      </w:r>
      <w:r>
        <w:rPr>
          <w:rFonts w:ascii="Times New Roman" w:eastAsia="Times New Roman" w:hAnsi="Times New Roman" w:cs="Times New Roman"/>
          <w:color w:val="000000"/>
          <w:szCs w:val="24"/>
          <w:shd w:val="clear" w:color="auto" w:fill="FFFFFF"/>
        </w:rPr>
        <w:t xml:space="preserve">a substitute for being given the right. </w:t>
      </w:r>
      <w:r>
        <w:rPr>
          <w:rFonts w:ascii="Times New Roman" w:eastAsia="Times New Roman" w:hAnsi="Times New Roman" w:cs="Times New Roman"/>
          <w:i/>
          <w:iCs/>
          <w:color w:val="000000"/>
          <w:szCs w:val="24"/>
          <w:shd w:val="clear" w:color="auto" w:fill="FFFFFF"/>
        </w:rPr>
        <w:t xml:space="preserve">Id. </w:t>
      </w:r>
      <w:r w:rsidR="008F232E">
        <w:rPr>
          <w:rFonts w:ascii="Times New Roman" w:eastAsia="Times New Roman" w:hAnsi="Times New Roman" w:cs="Times New Roman"/>
          <w:color w:val="000000"/>
          <w:szCs w:val="24"/>
          <w:shd w:val="clear" w:color="auto" w:fill="FFFFFF"/>
        </w:rPr>
        <w:t>An</w:t>
      </w:r>
      <w:r w:rsidR="00642D4B">
        <w:rPr>
          <w:rFonts w:ascii="Times New Roman" w:eastAsia="Times New Roman" w:hAnsi="Times New Roman" w:cs="Times New Roman"/>
          <w:color w:val="000000"/>
          <w:szCs w:val="24"/>
          <w:shd w:val="clear" w:color="auto" w:fill="FFFFFF"/>
        </w:rPr>
        <w:t xml:space="preserve"> error addressed by the court</w:t>
      </w:r>
      <w:r w:rsidR="008F232E">
        <w:rPr>
          <w:rFonts w:ascii="Times New Roman" w:eastAsia="Times New Roman" w:hAnsi="Times New Roman" w:cs="Times New Roman"/>
          <w:color w:val="000000"/>
          <w:szCs w:val="24"/>
          <w:shd w:val="clear" w:color="auto" w:fill="FFFFFF"/>
        </w:rPr>
        <w:t xml:space="preserve"> in </w:t>
      </w:r>
      <w:r w:rsidR="008F232E">
        <w:rPr>
          <w:rFonts w:ascii="Times New Roman" w:eastAsia="Times New Roman" w:hAnsi="Times New Roman" w:cs="Times New Roman"/>
          <w:i/>
          <w:iCs/>
          <w:color w:val="000000"/>
          <w:szCs w:val="24"/>
          <w:shd w:val="clear" w:color="auto" w:fill="FFFFFF"/>
        </w:rPr>
        <w:t>C.O.</w:t>
      </w:r>
      <w:r w:rsidR="00642D4B">
        <w:rPr>
          <w:rFonts w:ascii="Times New Roman" w:eastAsia="Times New Roman" w:hAnsi="Times New Roman" w:cs="Times New Roman"/>
          <w:color w:val="000000"/>
          <w:szCs w:val="24"/>
          <w:shd w:val="clear" w:color="auto" w:fill="FFFFFF"/>
        </w:rPr>
        <w:t xml:space="preserve"> was the trial judge’s claim that “the defendant’s right to present evidence at an upcoming criminal hearing would sufficiently protect the defendant’s due process rights.</w:t>
      </w:r>
      <w:r w:rsidR="005327A6">
        <w:rPr>
          <w:rFonts w:ascii="Times New Roman" w:eastAsia="Times New Roman" w:hAnsi="Times New Roman" w:cs="Times New Roman"/>
          <w:color w:val="000000"/>
          <w:szCs w:val="24"/>
          <w:shd w:val="clear" w:color="auto" w:fill="FFFFFF"/>
        </w:rPr>
        <w:t>”</w:t>
      </w:r>
      <w:r w:rsidR="00642D4B">
        <w:rPr>
          <w:rFonts w:ascii="Times New Roman" w:eastAsia="Times New Roman" w:hAnsi="Times New Roman" w:cs="Times New Roman"/>
          <w:color w:val="000000"/>
          <w:szCs w:val="24"/>
          <w:shd w:val="clear" w:color="auto" w:fill="FFFFFF"/>
        </w:rPr>
        <w:t xml:space="preserve"> </w:t>
      </w:r>
      <w:r w:rsidR="00642D4B">
        <w:rPr>
          <w:rFonts w:ascii="Times New Roman" w:eastAsia="Times New Roman" w:hAnsi="Times New Roman" w:cs="Times New Roman"/>
          <w:i/>
          <w:iCs/>
          <w:color w:val="000000"/>
          <w:szCs w:val="24"/>
          <w:shd w:val="clear" w:color="auto" w:fill="FFFFFF"/>
        </w:rPr>
        <w:t xml:space="preserve">C.O., </w:t>
      </w:r>
      <w:r w:rsidR="00642D4B">
        <w:rPr>
          <w:rFonts w:ascii="Times New Roman" w:eastAsia="Times New Roman" w:hAnsi="Times New Roman" w:cs="Times New Roman"/>
          <w:color w:val="000000"/>
          <w:szCs w:val="24"/>
          <w:shd w:val="clear" w:color="auto" w:fill="FFFFFF"/>
        </w:rPr>
        <w:t xml:space="preserve">442 Mass. at 658. Again, there is no substitution here. A pending criminal matter is a different matter entirely. </w:t>
      </w:r>
      <w:r w:rsidR="00642D4B">
        <w:rPr>
          <w:rFonts w:ascii="Times New Roman" w:eastAsia="Times New Roman" w:hAnsi="Times New Roman" w:cs="Times New Roman"/>
          <w:i/>
          <w:iCs/>
          <w:color w:val="000000"/>
          <w:szCs w:val="24"/>
          <w:shd w:val="clear" w:color="auto" w:fill="FFFFFF"/>
        </w:rPr>
        <w:t xml:space="preserve">Id. </w:t>
      </w:r>
      <w:r w:rsidR="00642D4B">
        <w:rPr>
          <w:rFonts w:ascii="Times New Roman" w:eastAsia="Times New Roman" w:hAnsi="Times New Roman" w:cs="Times New Roman"/>
          <w:color w:val="000000"/>
          <w:szCs w:val="24"/>
          <w:shd w:val="clear" w:color="auto" w:fill="FFFFFF"/>
        </w:rPr>
        <w:t xml:space="preserve">While abuse prevention order proceedings “were intended” to be informal, </w:t>
      </w:r>
      <w:r w:rsidR="00642D4B" w:rsidRPr="00F15866">
        <w:rPr>
          <w:rFonts w:ascii="Times New Roman" w:eastAsia="Times New Roman" w:hAnsi="Times New Roman" w:cs="Times New Roman"/>
          <w:szCs w:val="24"/>
          <w:shd w:val="clear" w:color="auto" w:fill="FFFFFF"/>
        </w:rPr>
        <w:t>“</w:t>
      </w:r>
      <w:r w:rsidR="00642D4B" w:rsidRPr="00F15866">
        <w:rPr>
          <w:rFonts w:ascii="Times New Roman" w:hAnsi="Times New Roman" w:cs="Times New Roman"/>
          <w:szCs w:val="24"/>
          <w:shd w:val="clear" w:color="auto" w:fill="FFFFFF"/>
        </w:rPr>
        <w:t xml:space="preserve">the proceedings may not violate the due process rights of defendants in an attempt to accommodate plaintiffs.” </w:t>
      </w:r>
      <w:r w:rsidR="00642D4B">
        <w:rPr>
          <w:rFonts w:ascii="Times New Roman" w:hAnsi="Times New Roman" w:cs="Times New Roman"/>
          <w:i/>
          <w:iCs/>
          <w:szCs w:val="24"/>
          <w:shd w:val="clear" w:color="auto" w:fill="FFFFFF"/>
        </w:rPr>
        <w:t xml:space="preserve">C.O., </w:t>
      </w:r>
      <w:r w:rsidR="00642D4B">
        <w:rPr>
          <w:rFonts w:ascii="Times New Roman" w:hAnsi="Times New Roman" w:cs="Times New Roman"/>
          <w:szCs w:val="24"/>
          <w:shd w:val="clear" w:color="auto" w:fill="FFFFFF"/>
        </w:rPr>
        <w:t>442 Mass. at 659</w:t>
      </w:r>
    </w:p>
    <w:p w14:paraId="660F8A90" w14:textId="0AE0752F" w:rsidR="00CC49DB" w:rsidRDefault="005B41A1" w:rsidP="008F232E">
      <w:pPr>
        <w:pStyle w:val="NoSpacing"/>
        <w:ind w:firstLine="720"/>
        <w:rPr>
          <w:rFonts w:ascii="Times New Roman" w:hAnsi="Times New Roman" w:cs="Times New Roman"/>
          <w:b/>
          <w:bCs/>
        </w:rPr>
      </w:pPr>
      <w:r>
        <w:rPr>
          <w:rFonts w:ascii="Times New Roman" w:hAnsi="Times New Roman" w:cs="Times New Roman"/>
          <w:b/>
          <w:bCs/>
        </w:rPr>
        <w:t xml:space="preserve">III. RIGHT TO CROSS-EXAMINE WITNESSES </w:t>
      </w:r>
    </w:p>
    <w:p w14:paraId="2736F4BA" w14:textId="02573D32" w:rsidR="00CC49DB" w:rsidRPr="00463F15" w:rsidRDefault="00CC49DB" w:rsidP="00CA05E3">
      <w:pPr>
        <w:pStyle w:val="NoSpacing"/>
        <w:rPr>
          <w:rFonts w:ascii="Times New Roman" w:hAnsi="Times New Roman" w:cs="Times New Roman"/>
        </w:rPr>
      </w:pPr>
    </w:p>
    <w:p w14:paraId="53021E91" w14:textId="0DE7A638" w:rsidR="003932A9" w:rsidRDefault="008F232E" w:rsidP="008F232E">
      <w:pPr>
        <w:spacing w:after="0" w:line="480" w:lineRule="auto"/>
        <w:ind w:firstLine="720"/>
        <w:jc w:val="both"/>
        <w:rPr>
          <w:rFonts w:ascii="Times New Roman" w:eastAsia="Times New Roman" w:hAnsi="Times New Roman" w:cs="Times New Roman"/>
          <w:color w:val="000000"/>
          <w:szCs w:val="24"/>
          <w:shd w:val="clear" w:color="auto" w:fill="FFFFFF"/>
        </w:rPr>
      </w:pPr>
      <w:r>
        <w:rPr>
          <w:rFonts w:ascii="Times New Roman" w:eastAsia="Times New Roman" w:hAnsi="Times New Roman" w:cs="Times New Roman"/>
          <w:color w:val="000000"/>
          <w:szCs w:val="24"/>
          <w:shd w:val="clear" w:color="auto" w:fill="FFFFFF"/>
        </w:rPr>
        <w:t xml:space="preserve">In </w:t>
      </w:r>
      <w:r>
        <w:rPr>
          <w:rFonts w:ascii="Times New Roman" w:eastAsia="Times New Roman" w:hAnsi="Times New Roman" w:cs="Times New Roman"/>
          <w:i/>
          <w:iCs/>
          <w:color w:val="000000"/>
          <w:szCs w:val="24"/>
          <w:shd w:val="clear" w:color="auto" w:fill="FFFFFF"/>
        </w:rPr>
        <w:t xml:space="preserve">C.O., </w:t>
      </w:r>
      <w:r>
        <w:rPr>
          <w:rFonts w:ascii="Times New Roman" w:eastAsia="Times New Roman" w:hAnsi="Times New Roman" w:cs="Times New Roman"/>
          <w:color w:val="000000"/>
          <w:szCs w:val="24"/>
          <w:shd w:val="clear" w:color="auto" w:fill="FFFFFF"/>
        </w:rPr>
        <w:t>t</w:t>
      </w:r>
      <w:r w:rsidR="00642D4B">
        <w:rPr>
          <w:rFonts w:ascii="Times New Roman" w:eastAsia="Times New Roman" w:hAnsi="Times New Roman" w:cs="Times New Roman"/>
          <w:color w:val="000000"/>
          <w:szCs w:val="24"/>
          <w:shd w:val="clear" w:color="auto" w:fill="FFFFFF"/>
        </w:rPr>
        <w:t>he plaintiff</w:t>
      </w:r>
      <w:r>
        <w:rPr>
          <w:rFonts w:ascii="Times New Roman" w:eastAsia="Times New Roman" w:hAnsi="Times New Roman" w:cs="Times New Roman"/>
          <w:color w:val="000000"/>
          <w:szCs w:val="24"/>
          <w:shd w:val="clear" w:color="auto" w:fill="FFFFFF"/>
        </w:rPr>
        <w:t xml:space="preserve"> mother</w:t>
      </w:r>
      <w:r w:rsidR="00642D4B">
        <w:rPr>
          <w:rFonts w:ascii="Times New Roman" w:eastAsia="Times New Roman" w:hAnsi="Times New Roman" w:cs="Times New Roman"/>
          <w:color w:val="000000"/>
          <w:szCs w:val="24"/>
          <w:shd w:val="clear" w:color="auto" w:fill="FFFFFF"/>
        </w:rPr>
        <w:t xml:space="preserve"> rebutted that even if the defendant’s right to testify, call and cross-examine witnesses was denied, it was at the proper discretion of the judge. 442 Mass. at 657. The court disagreed: “While a defendant’s right to present evidence is not absolute, and…a judge may limit cross-examination for ‘good cause’ in certain situations…judicial discretion is not unlimited.” </w:t>
      </w:r>
      <w:r w:rsidR="00642D4B">
        <w:rPr>
          <w:rFonts w:ascii="Times New Roman" w:eastAsia="Times New Roman" w:hAnsi="Times New Roman" w:cs="Times New Roman"/>
          <w:i/>
          <w:iCs/>
          <w:color w:val="000000"/>
          <w:szCs w:val="24"/>
          <w:shd w:val="clear" w:color="auto" w:fill="FFFFFF"/>
        </w:rPr>
        <w:t xml:space="preserve">Id. </w:t>
      </w:r>
      <w:r w:rsidR="00642D4B">
        <w:rPr>
          <w:rFonts w:ascii="Times New Roman" w:eastAsia="Times New Roman" w:hAnsi="Times New Roman" w:cs="Times New Roman"/>
          <w:color w:val="000000"/>
          <w:szCs w:val="24"/>
          <w:shd w:val="clear" w:color="auto" w:fill="FFFFFF"/>
        </w:rPr>
        <w:t xml:space="preserve">For example, cross-examination can be limited or denied “to avoid harassment,” “intimidation of witnesses, confusion, delay,” or “other abuses.” </w:t>
      </w:r>
      <w:r w:rsidR="00642D4B">
        <w:rPr>
          <w:rFonts w:ascii="Times New Roman" w:eastAsia="Times New Roman" w:hAnsi="Times New Roman" w:cs="Times New Roman"/>
          <w:i/>
          <w:iCs/>
          <w:color w:val="000000"/>
          <w:szCs w:val="24"/>
          <w:shd w:val="clear" w:color="auto" w:fill="FFFFFF"/>
        </w:rPr>
        <w:t xml:space="preserve">C.O., </w:t>
      </w:r>
      <w:r w:rsidR="00642D4B">
        <w:rPr>
          <w:rFonts w:ascii="Times New Roman" w:eastAsia="Times New Roman" w:hAnsi="Times New Roman" w:cs="Times New Roman"/>
          <w:color w:val="000000"/>
          <w:szCs w:val="24"/>
          <w:shd w:val="clear" w:color="auto" w:fill="FFFFFF"/>
        </w:rPr>
        <w:t xml:space="preserve">442 Mass. at 658. But in this case, there was nothing on the record showing “of any of the grounds enumerated…that would justify a limitation of these rights.” </w:t>
      </w:r>
      <w:r w:rsidR="00642D4B">
        <w:rPr>
          <w:rFonts w:ascii="Times New Roman" w:eastAsia="Times New Roman" w:hAnsi="Times New Roman" w:cs="Times New Roman"/>
          <w:i/>
          <w:iCs/>
          <w:color w:val="000000"/>
          <w:szCs w:val="24"/>
          <w:shd w:val="clear" w:color="auto" w:fill="FFFFFF"/>
        </w:rPr>
        <w:t xml:space="preserve">Id. </w:t>
      </w:r>
      <w:r w:rsidR="00642D4B">
        <w:rPr>
          <w:rFonts w:ascii="Times New Roman" w:eastAsia="Times New Roman" w:hAnsi="Times New Roman" w:cs="Times New Roman"/>
          <w:color w:val="000000"/>
          <w:szCs w:val="24"/>
          <w:shd w:val="clear" w:color="auto" w:fill="FFFFFF"/>
        </w:rPr>
        <w:t xml:space="preserve">In short, each side deserves a fair opportunity to “challenge each other’s evidence.” </w:t>
      </w:r>
      <w:r w:rsidR="00642D4B">
        <w:rPr>
          <w:rFonts w:ascii="Times New Roman" w:eastAsia="Times New Roman" w:hAnsi="Times New Roman" w:cs="Times New Roman"/>
          <w:i/>
          <w:iCs/>
          <w:color w:val="000000"/>
          <w:szCs w:val="24"/>
          <w:shd w:val="clear" w:color="auto" w:fill="FFFFFF"/>
        </w:rPr>
        <w:t xml:space="preserve">C.O., </w:t>
      </w:r>
      <w:r w:rsidR="00642D4B">
        <w:rPr>
          <w:rFonts w:ascii="Times New Roman" w:eastAsia="Times New Roman" w:hAnsi="Times New Roman" w:cs="Times New Roman"/>
          <w:color w:val="000000"/>
          <w:szCs w:val="24"/>
          <w:shd w:val="clear" w:color="auto" w:fill="FFFFFF"/>
        </w:rPr>
        <w:t>442 Mass. at 657.</w:t>
      </w:r>
    </w:p>
    <w:p w14:paraId="62199C59" w14:textId="543CD8F0" w:rsidR="00523FDA" w:rsidRDefault="003932A9" w:rsidP="00987B18">
      <w:pPr>
        <w:spacing w:after="0" w:line="480" w:lineRule="auto"/>
        <w:ind w:firstLine="720"/>
        <w:jc w:val="both"/>
        <w:rPr>
          <w:rFonts w:ascii="Times New Roman" w:hAnsi="Times New Roman" w:cs="Times New Roman"/>
          <w:i/>
          <w:iCs/>
          <w:szCs w:val="24"/>
          <w:shd w:val="clear" w:color="auto" w:fill="FFFFFF"/>
        </w:rPr>
      </w:pPr>
      <w:r>
        <w:rPr>
          <w:rFonts w:ascii="Times New Roman" w:eastAsia="Times New Roman" w:hAnsi="Times New Roman" w:cs="Times New Roman"/>
          <w:color w:val="000000"/>
          <w:szCs w:val="24"/>
          <w:shd w:val="clear" w:color="auto" w:fill="FFFFFF"/>
        </w:rPr>
        <w:t xml:space="preserve">The father in </w:t>
      </w:r>
      <w:r>
        <w:rPr>
          <w:rFonts w:ascii="Times New Roman" w:eastAsia="Times New Roman" w:hAnsi="Times New Roman" w:cs="Times New Roman"/>
          <w:i/>
          <w:iCs/>
          <w:color w:val="000000"/>
          <w:szCs w:val="24"/>
          <w:shd w:val="clear" w:color="auto" w:fill="FFFFFF"/>
        </w:rPr>
        <w:t xml:space="preserve">Daniela G. </w:t>
      </w:r>
      <w:r>
        <w:rPr>
          <w:rFonts w:ascii="Times New Roman" w:eastAsia="Times New Roman" w:hAnsi="Times New Roman" w:cs="Times New Roman"/>
          <w:color w:val="000000"/>
          <w:szCs w:val="24"/>
          <w:shd w:val="clear" w:color="auto" w:fill="FFFFFF"/>
        </w:rPr>
        <w:t>argued that the “cross-examination of Daniela was ‘critical’ because her “hearsay statements…formed the basis of the allegations against him</w:t>
      </w:r>
      <w:r w:rsidRPr="003932A9">
        <w:rPr>
          <w:rFonts w:ascii="Times New Roman" w:eastAsia="Times New Roman" w:hAnsi="Times New Roman" w:cs="Times New Roman"/>
          <w:color w:val="000000"/>
          <w:szCs w:val="24"/>
          <w:shd w:val="clear" w:color="auto" w:fill="FFFFFF"/>
        </w:rPr>
        <w:t xml:space="preserve">.” </w:t>
      </w:r>
      <w:r w:rsidRPr="003932A9">
        <w:rPr>
          <w:rFonts w:ascii="Times New Roman" w:hAnsi="Times New Roman" w:cs="Times New Roman"/>
          <w:i/>
          <w:iCs/>
          <w:szCs w:val="24"/>
          <w:bdr w:val="none" w:sz="0" w:space="0" w:color="auto" w:frame="1"/>
        </w:rPr>
        <w:t xml:space="preserve">Daniela G., </w:t>
      </w:r>
      <w:r w:rsidRPr="003932A9">
        <w:rPr>
          <w:rFonts w:ascii="Times New Roman" w:hAnsi="Times New Roman" w:cs="Times New Roman"/>
          <w:szCs w:val="24"/>
          <w:bdr w:val="none" w:sz="0" w:space="0" w:color="auto" w:frame="1"/>
        </w:rPr>
        <w:t xml:space="preserve">23 Cal.App.5th at 1094. </w:t>
      </w:r>
      <w:r>
        <w:rPr>
          <w:rFonts w:ascii="Times New Roman" w:hAnsi="Times New Roman" w:cs="Times New Roman"/>
          <w:szCs w:val="24"/>
          <w:bdr w:val="none" w:sz="0" w:space="0" w:color="auto" w:frame="1"/>
        </w:rPr>
        <w:t xml:space="preserve">He further argued that the court would be able to gauge how “stressed” Daniela was around him, for the purposes of determining visitation. But the court said the </w:t>
      </w:r>
      <w:r w:rsidRPr="003932A9">
        <w:rPr>
          <w:rFonts w:ascii="Times New Roman" w:hAnsi="Times New Roman" w:cs="Times New Roman"/>
          <w:szCs w:val="24"/>
          <w:bdr w:val="none" w:sz="0" w:space="0" w:color="auto" w:frame="1"/>
        </w:rPr>
        <w:t xml:space="preserve">determination </w:t>
      </w:r>
      <w:r w:rsidRPr="003932A9">
        <w:rPr>
          <w:rFonts w:ascii="Times New Roman" w:hAnsi="Times New Roman" w:cs="Times New Roman"/>
          <w:szCs w:val="24"/>
          <w:shd w:val="clear" w:color="auto" w:fill="FFFFFF"/>
        </w:rPr>
        <w:t>“that visitation was inappropriate was based primarily on father's failure to show even a ‘slight understanding of the horror of what he perpetrated on these two little girls,’ not on Daniela's expressed wishes.”</w:t>
      </w:r>
      <w:r>
        <w:rPr>
          <w:rFonts w:ascii="Times New Roman" w:hAnsi="Times New Roman" w:cs="Times New Roman"/>
          <w:szCs w:val="24"/>
          <w:shd w:val="clear" w:color="auto" w:fill="FFFFFF"/>
        </w:rPr>
        <w:t xml:space="preserve"> </w:t>
      </w:r>
      <w:r>
        <w:rPr>
          <w:rFonts w:ascii="Times New Roman" w:hAnsi="Times New Roman" w:cs="Times New Roman"/>
          <w:i/>
          <w:iCs/>
          <w:szCs w:val="24"/>
          <w:shd w:val="clear" w:color="auto" w:fill="FFFFFF"/>
        </w:rPr>
        <w:t xml:space="preserve">Id. </w:t>
      </w:r>
      <w:r>
        <w:rPr>
          <w:rFonts w:ascii="Times New Roman" w:hAnsi="Times New Roman" w:cs="Times New Roman"/>
          <w:szCs w:val="24"/>
          <w:shd w:val="clear" w:color="auto" w:fill="FFFFFF"/>
        </w:rPr>
        <w:t xml:space="preserve">Because Daniela’s testimony “would not have materially affected the court’s resolution” of the issues, the lack of cross-examination was not found to have been a due process violation. </w:t>
      </w:r>
      <w:r>
        <w:rPr>
          <w:rFonts w:ascii="Times New Roman" w:hAnsi="Times New Roman" w:cs="Times New Roman"/>
          <w:i/>
          <w:iCs/>
          <w:szCs w:val="24"/>
          <w:shd w:val="clear" w:color="auto" w:fill="FFFFFF"/>
        </w:rPr>
        <w:t>Id.</w:t>
      </w:r>
    </w:p>
    <w:p w14:paraId="19DA0557" w14:textId="06B31C66" w:rsidR="00523FDA" w:rsidRPr="00AE1342" w:rsidRDefault="00675A74" w:rsidP="00AE1342">
      <w:pPr>
        <w:spacing w:after="0" w:line="480" w:lineRule="auto"/>
        <w:ind w:firstLine="720"/>
        <w:jc w:val="both"/>
        <w:rPr>
          <w:rFonts w:ascii="Times New Roman" w:eastAsia="Times New Roman" w:hAnsi="Times New Roman" w:cs="Times New Roman"/>
          <w:i/>
          <w:iCs/>
          <w:szCs w:val="24"/>
          <w:shd w:val="clear" w:color="auto" w:fill="FFFFFF"/>
        </w:rPr>
      </w:pPr>
      <w:r w:rsidRPr="00322AB2">
        <w:rPr>
          <w:rFonts w:ascii="Times New Roman" w:hAnsi="Times New Roman" w:cs="Times New Roman"/>
          <w:szCs w:val="24"/>
          <w:shd w:val="clear" w:color="auto" w:fill="FFFFFF"/>
        </w:rPr>
        <w:t xml:space="preserve">In a custody </w:t>
      </w:r>
      <w:r w:rsidR="00986D1A" w:rsidRPr="00322AB2">
        <w:rPr>
          <w:rFonts w:ascii="Times New Roman" w:hAnsi="Times New Roman" w:cs="Times New Roman"/>
          <w:szCs w:val="24"/>
          <w:shd w:val="clear" w:color="auto" w:fill="FFFFFF"/>
        </w:rPr>
        <w:t>case from the Supreme Court of Kentucky</w:t>
      </w:r>
      <w:r w:rsidRPr="00322AB2">
        <w:rPr>
          <w:rFonts w:ascii="Times New Roman" w:hAnsi="Times New Roman" w:cs="Times New Roman"/>
          <w:szCs w:val="24"/>
          <w:shd w:val="clear" w:color="auto" w:fill="FFFFFF"/>
        </w:rPr>
        <w:t xml:space="preserve">, the court found that the mother’s right to due process included the right to conduct cross-examination of the child’s guardian </w:t>
      </w:r>
      <w:r w:rsidRPr="00322AB2">
        <w:rPr>
          <w:rFonts w:ascii="Times New Roman" w:hAnsi="Times New Roman" w:cs="Times New Roman"/>
          <w:i/>
          <w:iCs/>
          <w:szCs w:val="24"/>
          <w:shd w:val="clear" w:color="auto" w:fill="FFFFFF"/>
        </w:rPr>
        <w:t xml:space="preserve">ad litem </w:t>
      </w:r>
      <w:r w:rsidRPr="00322AB2">
        <w:rPr>
          <w:rFonts w:ascii="Times New Roman" w:hAnsi="Times New Roman" w:cs="Times New Roman"/>
          <w:szCs w:val="24"/>
          <w:shd w:val="clear" w:color="auto" w:fill="FFFFFF"/>
        </w:rPr>
        <w:t xml:space="preserve">(GAL). </w:t>
      </w:r>
      <w:r w:rsidR="00523FDA" w:rsidRPr="00322AB2">
        <w:rPr>
          <w:rFonts w:ascii="Times New Roman" w:eastAsiaTheme="minorHAnsi" w:hAnsi="Times New Roman" w:cs="Times New Roman"/>
          <w:i/>
          <w:iCs/>
          <w:szCs w:val="24"/>
        </w:rPr>
        <w:t xml:space="preserve">Morgan v. Getter, </w:t>
      </w:r>
      <w:r w:rsidRPr="00322AB2">
        <w:rPr>
          <w:rFonts w:ascii="Times New Roman" w:eastAsiaTheme="minorHAnsi" w:hAnsi="Times New Roman" w:cs="Times New Roman"/>
          <w:szCs w:val="24"/>
        </w:rPr>
        <w:t xml:space="preserve">441 S.W.3d 94 (2014). As background, the father involved sought modification of the custody arrangement with the child’s mother. </w:t>
      </w:r>
      <w:r w:rsidRPr="00322AB2">
        <w:rPr>
          <w:rFonts w:ascii="Times New Roman" w:eastAsiaTheme="minorHAnsi" w:hAnsi="Times New Roman" w:cs="Times New Roman"/>
          <w:i/>
          <w:iCs/>
          <w:szCs w:val="24"/>
        </w:rPr>
        <w:t xml:space="preserve">Morgan v. Getter, </w:t>
      </w:r>
      <w:r w:rsidRPr="00322AB2">
        <w:rPr>
          <w:rFonts w:ascii="Times New Roman" w:eastAsiaTheme="minorHAnsi" w:hAnsi="Times New Roman" w:cs="Times New Roman"/>
          <w:szCs w:val="24"/>
        </w:rPr>
        <w:t xml:space="preserve">441 S.W.3d at 96. The trial court decided to appoint a GAL to the child involved “to investigate the situation, file a repost summarizing his findings, and </w:t>
      </w:r>
      <w:r w:rsidRPr="00322AB2">
        <w:rPr>
          <w:rFonts w:ascii="Times New Roman" w:hAnsi="Times New Roman" w:cs="Times New Roman"/>
          <w:szCs w:val="24"/>
          <w:shd w:val="clear" w:color="auto" w:fill="FFFFFF"/>
        </w:rPr>
        <w:t xml:space="preserve">to make a recommendation as to the custody issues raised by the parties.” </w:t>
      </w:r>
      <w:r w:rsidRPr="00322AB2">
        <w:rPr>
          <w:rFonts w:ascii="Times New Roman" w:hAnsi="Times New Roman" w:cs="Times New Roman"/>
          <w:i/>
          <w:iCs/>
          <w:szCs w:val="24"/>
          <w:shd w:val="clear" w:color="auto" w:fill="FFFFFF"/>
        </w:rPr>
        <w:t xml:space="preserve">Id. </w:t>
      </w:r>
      <w:r w:rsidR="00907E50" w:rsidRPr="00322AB2">
        <w:rPr>
          <w:rFonts w:ascii="Times New Roman" w:hAnsi="Times New Roman" w:cs="Times New Roman"/>
          <w:szCs w:val="24"/>
          <w:shd w:val="clear" w:color="auto" w:fill="FFFFFF"/>
        </w:rPr>
        <w:t xml:space="preserve">At trial, the GAL’s evidentiary report helped the court </w:t>
      </w:r>
      <w:r w:rsidR="00322AB2">
        <w:rPr>
          <w:rFonts w:ascii="Times New Roman" w:hAnsi="Times New Roman" w:cs="Times New Roman"/>
          <w:szCs w:val="24"/>
          <w:shd w:val="clear" w:color="auto" w:fill="FFFFFF"/>
        </w:rPr>
        <w:t>determin</w:t>
      </w:r>
      <w:r w:rsidR="00907E50" w:rsidRPr="00322AB2">
        <w:rPr>
          <w:rFonts w:ascii="Times New Roman" w:hAnsi="Times New Roman" w:cs="Times New Roman"/>
          <w:szCs w:val="24"/>
          <w:shd w:val="clear" w:color="auto" w:fill="FFFFFF"/>
        </w:rPr>
        <w:t xml:space="preserve">e custody should be switched from the mother to the father. </w:t>
      </w:r>
      <w:r w:rsidR="00907E50" w:rsidRPr="00322AB2">
        <w:rPr>
          <w:rFonts w:ascii="Times New Roman" w:hAnsi="Times New Roman" w:cs="Times New Roman"/>
          <w:i/>
          <w:iCs/>
          <w:szCs w:val="24"/>
          <w:shd w:val="clear" w:color="auto" w:fill="FFFFFF"/>
        </w:rPr>
        <w:t xml:space="preserve">Id. </w:t>
      </w:r>
      <w:r w:rsidR="00322AB2" w:rsidRPr="00322AB2">
        <w:rPr>
          <w:rFonts w:ascii="Times New Roman" w:hAnsi="Times New Roman" w:cs="Times New Roman"/>
          <w:szCs w:val="24"/>
          <w:shd w:val="clear" w:color="auto" w:fill="FFFFFF"/>
        </w:rPr>
        <w:t xml:space="preserve">The mother appealed, partially on the grounds that the trial court’s denial of her request to cross-examine the GAL on his evidentiary report violated her due process right. </w:t>
      </w:r>
      <w:r w:rsidR="00322AB2" w:rsidRPr="00322AB2">
        <w:rPr>
          <w:rFonts w:ascii="Times New Roman" w:eastAsiaTheme="minorHAnsi" w:hAnsi="Times New Roman" w:cs="Times New Roman"/>
          <w:i/>
          <w:iCs/>
          <w:szCs w:val="24"/>
        </w:rPr>
        <w:t xml:space="preserve">Morgan v. Getter, </w:t>
      </w:r>
      <w:r w:rsidR="00322AB2" w:rsidRPr="00322AB2">
        <w:rPr>
          <w:rFonts w:ascii="Times New Roman" w:eastAsiaTheme="minorHAnsi" w:hAnsi="Times New Roman" w:cs="Times New Roman"/>
          <w:szCs w:val="24"/>
        </w:rPr>
        <w:t>441 S.W.3d at 9</w:t>
      </w:r>
      <w:r w:rsidR="00322AB2">
        <w:rPr>
          <w:rFonts w:ascii="Times New Roman" w:eastAsiaTheme="minorHAnsi" w:hAnsi="Times New Roman" w:cs="Times New Roman"/>
          <w:szCs w:val="24"/>
        </w:rPr>
        <w:t xml:space="preserve">8. Although the case was moot because the child had turned 18, the court wanted to review the case as a matter of public policy. </w:t>
      </w:r>
      <w:r w:rsidR="00322AB2">
        <w:rPr>
          <w:rFonts w:ascii="Times New Roman" w:eastAsiaTheme="minorHAnsi" w:hAnsi="Times New Roman" w:cs="Times New Roman"/>
          <w:i/>
          <w:iCs/>
          <w:szCs w:val="24"/>
        </w:rPr>
        <w:t xml:space="preserve">Id. </w:t>
      </w:r>
      <w:r w:rsidR="00322AB2">
        <w:rPr>
          <w:rFonts w:ascii="Times New Roman" w:eastAsiaTheme="minorHAnsi" w:hAnsi="Times New Roman" w:cs="Times New Roman"/>
          <w:szCs w:val="24"/>
        </w:rPr>
        <w:t xml:space="preserve">Part of the issue at trial was the trial court’s dilemma in the GAL being a “friend of the court” or FOC, who can actively participate as legal counsel for the child through calling and cross-examining witnesses, opening and closing statements, etc. </w:t>
      </w:r>
      <w:r w:rsidR="00322AB2" w:rsidRPr="00322AB2">
        <w:rPr>
          <w:rFonts w:ascii="Times New Roman" w:eastAsiaTheme="minorHAnsi" w:hAnsi="Times New Roman" w:cs="Times New Roman"/>
          <w:i/>
          <w:iCs/>
          <w:szCs w:val="24"/>
        </w:rPr>
        <w:t xml:space="preserve">Morgan v. Getter, </w:t>
      </w:r>
      <w:r w:rsidR="00322AB2" w:rsidRPr="00322AB2">
        <w:rPr>
          <w:rFonts w:ascii="Times New Roman" w:eastAsiaTheme="minorHAnsi" w:hAnsi="Times New Roman" w:cs="Times New Roman"/>
          <w:szCs w:val="24"/>
        </w:rPr>
        <w:t xml:space="preserve">441 S.W.3d at </w:t>
      </w:r>
      <w:r w:rsidR="00322AB2">
        <w:rPr>
          <w:rFonts w:ascii="Times New Roman" w:eastAsiaTheme="minorHAnsi" w:hAnsi="Times New Roman" w:cs="Times New Roman"/>
          <w:szCs w:val="24"/>
        </w:rPr>
        <w:t xml:space="preserve">111. </w:t>
      </w:r>
      <w:r w:rsidR="002051F9">
        <w:rPr>
          <w:rFonts w:ascii="Times New Roman" w:eastAsiaTheme="minorHAnsi" w:hAnsi="Times New Roman" w:cs="Times New Roman"/>
          <w:szCs w:val="24"/>
        </w:rPr>
        <w:t xml:space="preserve">This makes some courts reluctant to allow cross-examination of a GAL/FOC. </w:t>
      </w:r>
      <w:r w:rsidR="00322AB2">
        <w:rPr>
          <w:rFonts w:ascii="Times New Roman" w:eastAsiaTheme="minorHAnsi" w:hAnsi="Times New Roman" w:cs="Times New Roman"/>
          <w:szCs w:val="24"/>
        </w:rPr>
        <w:t xml:space="preserve">On the other hand, the GAL </w:t>
      </w:r>
      <w:r w:rsidR="002051F9">
        <w:rPr>
          <w:rFonts w:ascii="Times New Roman" w:eastAsiaTheme="minorHAnsi" w:hAnsi="Times New Roman" w:cs="Times New Roman"/>
          <w:szCs w:val="24"/>
        </w:rPr>
        <w:t>must</w:t>
      </w:r>
      <w:r w:rsidR="00322AB2">
        <w:rPr>
          <w:rFonts w:ascii="Times New Roman" w:eastAsiaTheme="minorHAnsi" w:hAnsi="Times New Roman" w:cs="Times New Roman"/>
          <w:szCs w:val="24"/>
        </w:rPr>
        <w:t xml:space="preserve"> advocate for the “child’s best interests” in an unbiased way</w:t>
      </w:r>
      <w:r w:rsidR="002051F9">
        <w:rPr>
          <w:rFonts w:ascii="Times New Roman" w:eastAsiaTheme="minorHAnsi" w:hAnsi="Times New Roman" w:cs="Times New Roman"/>
          <w:szCs w:val="24"/>
        </w:rPr>
        <w:t xml:space="preserve">, even if that conflicts with the child’s direct wishes. </w:t>
      </w:r>
      <w:r w:rsidR="002051F9">
        <w:rPr>
          <w:rFonts w:ascii="Times New Roman" w:eastAsiaTheme="minorHAnsi" w:hAnsi="Times New Roman" w:cs="Times New Roman"/>
          <w:i/>
          <w:iCs/>
          <w:szCs w:val="24"/>
        </w:rPr>
        <w:t xml:space="preserve">Id. </w:t>
      </w:r>
      <w:r w:rsidR="002051F9">
        <w:rPr>
          <w:rFonts w:ascii="Times New Roman" w:eastAsiaTheme="minorHAnsi" w:hAnsi="Times New Roman" w:cs="Times New Roman"/>
          <w:szCs w:val="24"/>
        </w:rPr>
        <w:t xml:space="preserve">This, of course, can create an ethical dilemma because a lawyer is not supposed to “act as an advocate at a proceeding in which he or she is likely to be a necessary witness.” </w:t>
      </w:r>
      <w:r w:rsidR="002051F9">
        <w:rPr>
          <w:rFonts w:ascii="Times New Roman" w:eastAsiaTheme="minorHAnsi" w:hAnsi="Times New Roman" w:cs="Times New Roman"/>
          <w:i/>
          <w:iCs/>
          <w:szCs w:val="24"/>
        </w:rPr>
        <w:t xml:space="preserve">Id. </w:t>
      </w:r>
      <w:r w:rsidR="002051F9">
        <w:rPr>
          <w:rFonts w:ascii="Times New Roman" w:eastAsiaTheme="minorHAnsi" w:hAnsi="Times New Roman" w:cs="Times New Roman"/>
          <w:szCs w:val="24"/>
        </w:rPr>
        <w:t>While the court sympathized with the dilemma in not mixing these roles, a party’s constitutional right should trump the rule</w:t>
      </w:r>
      <w:r w:rsidR="00AE1342">
        <w:rPr>
          <w:rFonts w:ascii="Times New Roman" w:eastAsiaTheme="minorHAnsi" w:hAnsi="Times New Roman" w:cs="Times New Roman"/>
          <w:szCs w:val="24"/>
        </w:rPr>
        <w:t xml:space="preserve"> and state interest</w:t>
      </w:r>
      <w:r w:rsidR="002051F9">
        <w:rPr>
          <w:rFonts w:ascii="Times New Roman" w:eastAsiaTheme="minorHAnsi" w:hAnsi="Times New Roman" w:cs="Times New Roman"/>
          <w:szCs w:val="24"/>
        </w:rPr>
        <w:t xml:space="preserve"> here. </w:t>
      </w:r>
      <w:r w:rsidR="002051F9">
        <w:rPr>
          <w:rFonts w:ascii="Times New Roman" w:eastAsiaTheme="minorHAnsi" w:hAnsi="Times New Roman" w:cs="Times New Roman"/>
          <w:i/>
          <w:iCs/>
          <w:szCs w:val="24"/>
        </w:rPr>
        <w:t xml:space="preserve">Id. </w:t>
      </w:r>
      <w:r w:rsidR="002051F9">
        <w:rPr>
          <w:rFonts w:ascii="Times New Roman" w:eastAsiaTheme="minorHAnsi" w:hAnsi="Times New Roman" w:cs="Times New Roman"/>
          <w:szCs w:val="24"/>
        </w:rPr>
        <w:t xml:space="preserve">Under the </w:t>
      </w:r>
      <w:r w:rsidR="002051F9">
        <w:rPr>
          <w:rFonts w:ascii="Times New Roman" w:eastAsiaTheme="minorHAnsi" w:hAnsi="Times New Roman" w:cs="Times New Roman"/>
          <w:i/>
          <w:iCs/>
          <w:szCs w:val="24"/>
        </w:rPr>
        <w:t xml:space="preserve">Mathews </w:t>
      </w:r>
      <w:r w:rsidR="002051F9">
        <w:rPr>
          <w:rFonts w:ascii="Times New Roman" w:eastAsiaTheme="minorHAnsi" w:hAnsi="Times New Roman" w:cs="Times New Roman"/>
          <w:szCs w:val="24"/>
        </w:rPr>
        <w:t xml:space="preserve">analysis, the mother has a “protected liberty interest in the care and protection of her daughter.” </w:t>
      </w:r>
      <w:r w:rsidR="002051F9" w:rsidRPr="00322AB2">
        <w:rPr>
          <w:rFonts w:ascii="Times New Roman" w:eastAsiaTheme="minorHAnsi" w:hAnsi="Times New Roman" w:cs="Times New Roman"/>
          <w:i/>
          <w:iCs/>
          <w:szCs w:val="24"/>
        </w:rPr>
        <w:t xml:space="preserve">Morgan v. Getter, </w:t>
      </w:r>
      <w:r w:rsidR="002051F9" w:rsidRPr="00322AB2">
        <w:rPr>
          <w:rFonts w:ascii="Times New Roman" w:eastAsiaTheme="minorHAnsi" w:hAnsi="Times New Roman" w:cs="Times New Roman"/>
          <w:szCs w:val="24"/>
        </w:rPr>
        <w:t xml:space="preserve">441 S.W.3d at </w:t>
      </w:r>
      <w:r w:rsidR="002051F9">
        <w:rPr>
          <w:rFonts w:ascii="Times New Roman" w:eastAsiaTheme="minorHAnsi" w:hAnsi="Times New Roman" w:cs="Times New Roman"/>
          <w:szCs w:val="24"/>
        </w:rPr>
        <w:t xml:space="preserve">112. See </w:t>
      </w:r>
      <w:r w:rsidR="002051F9">
        <w:rPr>
          <w:rFonts w:ascii="Times New Roman" w:eastAsiaTheme="minorHAnsi" w:hAnsi="Times New Roman" w:cs="Times New Roman"/>
          <w:i/>
          <w:iCs/>
          <w:szCs w:val="24"/>
        </w:rPr>
        <w:t xml:space="preserve">Troxel v. Granville, </w:t>
      </w:r>
      <w:r w:rsidR="002051F9">
        <w:rPr>
          <w:rFonts w:ascii="Times New Roman" w:eastAsiaTheme="minorHAnsi" w:hAnsi="Times New Roman" w:cs="Times New Roman"/>
          <w:szCs w:val="24"/>
        </w:rPr>
        <w:t xml:space="preserve">530 U.S. 57, 65 (2000). That liberty interest was “adversely affected” by the custody proceedings. </w:t>
      </w:r>
      <w:r w:rsidR="002051F9">
        <w:rPr>
          <w:rFonts w:ascii="Times New Roman" w:eastAsiaTheme="minorHAnsi" w:hAnsi="Times New Roman" w:cs="Times New Roman"/>
          <w:i/>
          <w:iCs/>
          <w:szCs w:val="24"/>
        </w:rPr>
        <w:t xml:space="preserve">Id. </w:t>
      </w:r>
      <w:r w:rsidR="00D02FCD">
        <w:rPr>
          <w:rFonts w:ascii="Times New Roman" w:eastAsiaTheme="minorHAnsi" w:hAnsi="Times New Roman" w:cs="Times New Roman"/>
          <w:szCs w:val="24"/>
        </w:rPr>
        <w:t xml:space="preserve">Allowing the cross-examination of the GAL would have allowed the mother to “test the accuracy of the GAL’s report” as well as exposing his “assumptions and potential biases.” </w:t>
      </w:r>
      <w:r w:rsidR="00D02FCD">
        <w:rPr>
          <w:rFonts w:ascii="Times New Roman" w:eastAsiaTheme="minorHAnsi" w:hAnsi="Times New Roman" w:cs="Times New Roman"/>
          <w:i/>
          <w:iCs/>
          <w:szCs w:val="24"/>
        </w:rPr>
        <w:t xml:space="preserve">Id. </w:t>
      </w:r>
      <w:r w:rsidR="002051F9">
        <w:rPr>
          <w:rFonts w:ascii="Times New Roman" w:eastAsiaTheme="minorHAnsi" w:hAnsi="Times New Roman" w:cs="Times New Roman"/>
          <w:szCs w:val="24"/>
        </w:rPr>
        <w:t xml:space="preserve">Moreover, disallowing the cross-examination of the GAL, who had a strong bearing in determining the outcome of this liberty interest, “created a real and substantial risk that </w:t>
      </w:r>
      <w:r w:rsidR="00D02FCD">
        <w:rPr>
          <w:rFonts w:ascii="Times New Roman" w:eastAsiaTheme="minorHAnsi" w:hAnsi="Times New Roman" w:cs="Times New Roman"/>
          <w:szCs w:val="24"/>
        </w:rPr>
        <w:t>[</w:t>
      </w:r>
      <w:r w:rsidR="002051F9">
        <w:rPr>
          <w:rFonts w:ascii="Times New Roman" w:eastAsiaTheme="minorHAnsi" w:hAnsi="Times New Roman" w:cs="Times New Roman"/>
          <w:szCs w:val="24"/>
        </w:rPr>
        <w:t>the mother’s</w:t>
      </w:r>
      <w:r w:rsidR="00D02FCD">
        <w:rPr>
          <w:rFonts w:ascii="Times New Roman" w:eastAsiaTheme="minorHAnsi" w:hAnsi="Times New Roman" w:cs="Times New Roman"/>
          <w:szCs w:val="24"/>
        </w:rPr>
        <w:t>]</w:t>
      </w:r>
      <w:r w:rsidR="002051F9">
        <w:rPr>
          <w:rFonts w:ascii="Times New Roman" w:eastAsiaTheme="minorHAnsi" w:hAnsi="Times New Roman" w:cs="Times New Roman"/>
          <w:szCs w:val="24"/>
        </w:rPr>
        <w:t xml:space="preserve"> fundamental interests would be erroneously impaired.”</w:t>
      </w:r>
      <w:r w:rsidR="00D02FCD">
        <w:rPr>
          <w:rFonts w:ascii="Times New Roman" w:eastAsiaTheme="minorHAnsi" w:hAnsi="Times New Roman" w:cs="Times New Roman"/>
          <w:szCs w:val="24"/>
        </w:rPr>
        <w:t xml:space="preserve"> </w:t>
      </w:r>
      <w:r w:rsidR="00D02FCD">
        <w:rPr>
          <w:rFonts w:ascii="Times New Roman" w:eastAsiaTheme="minorHAnsi" w:hAnsi="Times New Roman" w:cs="Times New Roman"/>
          <w:i/>
          <w:iCs/>
          <w:szCs w:val="24"/>
        </w:rPr>
        <w:t>Id.</w:t>
      </w:r>
    </w:p>
    <w:p w14:paraId="62C0D066" w14:textId="3C7D9E37" w:rsidR="005B59A7" w:rsidRDefault="00523FDA" w:rsidP="009E75B2">
      <w:pPr>
        <w:pStyle w:val="NoSpacing"/>
        <w:jc w:val="center"/>
        <w:rPr>
          <w:rFonts w:ascii="Times New Roman" w:hAnsi="Times New Roman" w:cs="Times New Roman"/>
          <w:b/>
          <w:bCs/>
          <w:u w:val="single"/>
        </w:rPr>
      </w:pPr>
      <w:r>
        <w:rPr>
          <w:rFonts w:ascii="Times New Roman" w:hAnsi="Times New Roman" w:cs="Times New Roman"/>
          <w:b/>
          <w:bCs/>
          <w:u w:val="single"/>
        </w:rPr>
        <w:t xml:space="preserve">CONCLUSION </w:t>
      </w:r>
    </w:p>
    <w:p w14:paraId="3A2B6B17" w14:textId="77777777" w:rsidR="009E75B2" w:rsidRDefault="009E75B2" w:rsidP="009E75B2">
      <w:pPr>
        <w:pStyle w:val="NoSpacing"/>
        <w:jc w:val="center"/>
        <w:rPr>
          <w:rFonts w:ascii="Times New Roman" w:hAnsi="Times New Roman" w:cs="Times New Roman"/>
          <w:b/>
          <w:bCs/>
          <w:u w:val="single"/>
        </w:rPr>
      </w:pPr>
    </w:p>
    <w:p w14:paraId="125840F8" w14:textId="2F135015" w:rsidR="005B59A7" w:rsidRPr="009E75B2" w:rsidRDefault="006127B5" w:rsidP="009E75B2">
      <w:pPr>
        <w:pStyle w:val="NoSpacing"/>
        <w:spacing w:line="480" w:lineRule="auto"/>
        <w:ind w:firstLine="720"/>
        <w:jc w:val="both"/>
        <w:rPr>
          <w:rFonts w:ascii="Times New Roman" w:hAnsi="Times New Roman" w:cs="Times New Roman"/>
          <w:b/>
          <w:bCs/>
          <w:u w:val="single"/>
        </w:rPr>
      </w:pPr>
      <w:r>
        <w:rPr>
          <w:rFonts w:ascii="Times New Roman" w:hAnsi="Times New Roman" w:cs="Times New Roman"/>
        </w:rPr>
        <w:t>The</w:t>
      </w:r>
      <w:r w:rsidR="005B59A7">
        <w:rPr>
          <w:rFonts w:ascii="Times New Roman" w:hAnsi="Times New Roman" w:cs="Times New Roman"/>
        </w:rPr>
        <w:t xml:space="preserve"> right to testify is a part of the due process right to “a meaningful opportunity to be heard.” While the right to testify is a due process right and the judge’s discretion is not absolute, testimony can be blocked for certain reasons. </w:t>
      </w:r>
      <w:r w:rsidR="00C92962">
        <w:rPr>
          <w:rFonts w:ascii="Times New Roman" w:hAnsi="Times New Roman" w:cs="Times New Roman"/>
        </w:rPr>
        <w:t xml:space="preserve">Under </w:t>
      </w:r>
      <w:r w:rsidR="00C92962">
        <w:rPr>
          <w:rFonts w:ascii="Times New Roman" w:hAnsi="Times New Roman" w:cs="Times New Roman"/>
          <w:i/>
          <w:iCs/>
        </w:rPr>
        <w:t xml:space="preserve">In re Daniela G. </w:t>
      </w:r>
      <w:r w:rsidR="00C92962">
        <w:rPr>
          <w:rFonts w:ascii="Times New Roman" w:hAnsi="Times New Roman" w:cs="Times New Roman"/>
        </w:rPr>
        <w:t xml:space="preserve">(2018), </w:t>
      </w:r>
      <w:r w:rsidR="005B59A7">
        <w:rPr>
          <w:rFonts w:ascii="Times New Roman" w:hAnsi="Times New Roman" w:cs="Times New Roman"/>
        </w:rPr>
        <w:t>the possible benefit of testimony by a minor can be outweighed by the psychological harm to the minor.</w:t>
      </w:r>
      <w:r w:rsidR="00C92962">
        <w:rPr>
          <w:rFonts w:ascii="Times New Roman" w:hAnsi="Times New Roman" w:cs="Times New Roman"/>
        </w:rPr>
        <w:t xml:space="preserve"> Therefore, excluding that testimony could be affirmed as a proper use of discretion by the trial judge. </w:t>
      </w:r>
      <w:r w:rsidR="009E75B2">
        <w:rPr>
          <w:rFonts w:ascii="Times New Roman" w:hAnsi="Times New Roman" w:cs="Times New Roman"/>
        </w:rPr>
        <w:t>Generally, proceedings may not “</w:t>
      </w:r>
      <w:r w:rsidR="009E75B2" w:rsidRPr="00F15866">
        <w:rPr>
          <w:rFonts w:ascii="Times New Roman" w:hAnsi="Times New Roman" w:cs="Times New Roman"/>
          <w:szCs w:val="24"/>
          <w:shd w:val="clear" w:color="auto" w:fill="FFFFFF"/>
        </w:rPr>
        <w:t xml:space="preserve">may not violate the due process rights of defendants in an attempt to accommodate </w:t>
      </w:r>
      <w:r w:rsidR="009E75B2" w:rsidRPr="009E75B2">
        <w:rPr>
          <w:rFonts w:ascii="Times New Roman" w:hAnsi="Times New Roman" w:cs="Times New Roman"/>
          <w:szCs w:val="24"/>
          <w:shd w:val="clear" w:color="auto" w:fill="FFFFFF"/>
        </w:rPr>
        <w:t>plaintiffs</w:t>
      </w:r>
      <w:r w:rsidR="009E75B2">
        <w:rPr>
          <w:rFonts w:ascii="Times New Roman" w:hAnsi="Times New Roman" w:cs="Times New Roman"/>
          <w:szCs w:val="24"/>
          <w:shd w:val="clear" w:color="auto" w:fill="FFFFFF"/>
        </w:rPr>
        <w:t xml:space="preserve">,” and this specifically applies to the due process right to present evidence. </w:t>
      </w:r>
      <w:r w:rsidR="007F2BF5">
        <w:rPr>
          <w:rFonts w:ascii="Times New Roman" w:eastAsia="Times New Roman" w:hAnsi="Times New Roman" w:cs="Times New Roman"/>
          <w:color w:val="000000"/>
          <w:szCs w:val="24"/>
          <w:shd w:val="clear" w:color="auto" w:fill="FFFFFF"/>
        </w:rPr>
        <w:t>Cross-examination can be limited or denied “to avoid harassment,” “intimidation of witnesses, confusion, delay,” or “other abuses.” However, cross-examination is important to due process rights because it allows a party the opportunity to “</w:t>
      </w:r>
      <w:r w:rsidR="007F2BF5">
        <w:rPr>
          <w:rFonts w:ascii="Times New Roman" w:eastAsiaTheme="minorHAnsi" w:hAnsi="Times New Roman" w:cs="Times New Roman"/>
          <w:szCs w:val="24"/>
        </w:rPr>
        <w:t xml:space="preserve">test the accuracy” of the witness as well as exposing the witness’s “assumptions and potential biases.” Because parents have a fundamental liberty interest in the care, custody, and management of their children, the due process right to testify, bring evidence, and cross-examine witnesses plays an important role in protecting the erroneous deprivation of that fundamental liberty. </w:t>
      </w:r>
    </w:p>
    <w:p w14:paraId="39A81057" w14:textId="5EC13758" w:rsidR="005B59A7" w:rsidRPr="005B59A7" w:rsidRDefault="005B59A7" w:rsidP="005B59A7">
      <w:pPr>
        <w:tabs>
          <w:tab w:val="left" w:pos="3590"/>
        </w:tabs>
        <w:jc w:val="both"/>
      </w:pPr>
    </w:p>
    <w:sectPr w:rsidR="005B59A7" w:rsidRPr="005B59A7">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B577" w16cex:dateUtc="2020-07-09T01:13:00Z"/>
  <w16cex:commentExtensible w16cex:durableId="22B0B60E" w16cex:dateUtc="2020-07-09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E43C34" w16cid:durableId="22B0B577"/>
  <w16cid:commentId w16cid:paraId="1C3AD383" w16cid:durableId="22B0B3DD"/>
  <w16cid:commentId w16cid:paraId="405B2832" w16cid:durableId="22B0B6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A84F" w14:textId="77777777" w:rsidR="0086121A" w:rsidRDefault="0086121A" w:rsidP="001262FE">
      <w:pPr>
        <w:spacing w:after="0" w:line="240" w:lineRule="auto"/>
      </w:pPr>
      <w:r>
        <w:separator/>
      </w:r>
    </w:p>
  </w:endnote>
  <w:endnote w:type="continuationSeparator" w:id="0">
    <w:p w14:paraId="099D5D2B" w14:textId="77777777" w:rsidR="0086121A" w:rsidRDefault="0086121A" w:rsidP="0012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95447"/>
      <w:docPartObj>
        <w:docPartGallery w:val="Page Numbers (Bottom of Page)"/>
        <w:docPartUnique/>
      </w:docPartObj>
    </w:sdtPr>
    <w:sdtEndPr>
      <w:rPr>
        <w:noProof/>
      </w:rPr>
    </w:sdtEndPr>
    <w:sdtContent>
      <w:p w14:paraId="5507C171" w14:textId="0FCB36E9" w:rsidR="001262FE" w:rsidRDefault="001262FE">
        <w:pPr>
          <w:pStyle w:val="Footer"/>
          <w:jc w:val="right"/>
        </w:pPr>
        <w:r>
          <w:fldChar w:fldCharType="begin"/>
        </w:r>
        <w:r>
          <w:instrText xml:space="preserve"> PAGE   \* MERGEFORMAT </w:instrText>
        </w:r>
        <w:r>
          <w:fldChar w:fldCharType="separate"/>
        </w:r>
        <w:r w:rsidR="004A4534">
          <w:rPr>
            <w:noProof/>
          </w:rPr>
          <w:t>1</w:t>
        </w:r>
        <w:r>
          <w:rPr>
            <w:noProof/>
          </w:rPr>
          <w:fldChar w:fldCharType="end"/>
        </w:r>
      </w:p>
    </w:sdtContent>
  </w:sdt>
  <w:p w14:paraId="04387078" w14:textId="77777777" w:rsidR="001262FE" w:rsidRDefault="001262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993B" w14:textId="77777777" w:rsidR="0086121A" w:rsidRDefault="0086121A" w:rsidP="001262FE">
      <w:pPr>
        <w:spacing w:after="0" w:line="240" w:lineRule="auto"/>
      </w:pPr>
      <w:r>
        <w:separator/>
      </w:r>
    </w:p>
  </w:footnote>
  <w:footnote w:type="continuationSeparator" w:id="0">
    <w:p w14:paraId="34CBD1BD" w14:textId="77777777" w:rsidR="0086121A" w:rsidRDefault="0086121A" w:rsidP="001262FE">
      <w:pPr>
        <w:spacing w:after="0" w:line="240" w:lineRule="auto"/>
      </w:pPr>
      <w:r>
        <w:continuationSeparator/>
      </w:r>
    </w:p>
  </w:footnote>
  <w:footnote w:id="1">
    <w:p w14:paraId="06FE78B9" w14:textId="77777777" w:rsidR="006127B5" w:rsidRPr="00A72FE3" w:rsidRDefault="006127B5" w:rsidP="006127B5">
      <w:pPr>
        <w:pStyle w:val="FootnoteText"/>
        <w:rPr>
          <w:rFonts w:ascii="Times New Roman" w:hAnsi="Times New Roman" w:cs="Times New Roman"/>
          <w:color w:val="000000" w:themeColor="text1"/>
        </w:rPr>
      </w:pPr>
      <w:r>
        <w:rPr>
          <w:rStyle w:val="FootnoteReference"/>
        </w:rPr>
        <w:footnoteRef/>
      </w:r>
      <w:r>
        <w:t xml:space="preserve"> </w:t>
      </w:r>
      <w:r w:rsidRPr="003B6D7C">
        <w:rPr>
          <w:rFonts w:ascii="Times New Roman" w:hAnsi="Times New Roman" w:cs="Times New Roman"/>
          <w:color w:val="000000" w:themeColor="text1"/>
          <w:shd w:val="clear" w:color="auto" w:fill="FFFFFF"/>
        </w:rPr>
        <w:t>Under </w:t>
      </w:r>
      <w:hyperlink r:id="rId1" w:history="1">
        <w:r w:rsidRPr="003B6D7C">
          <w:rPr>
            <w:rStyle w:val="Hyperlink"/>
            <w:rFonts w:ascii="Times New Roman" w:hAnsi="Times New Roman" w:cs="Times New Roman"/>
            <w:color w:val="000000" w:themeColor="text1"/>
            <w:u w:val="none"/>
            <w:bdr w:val="none" w:sz="0" w:space="0" w:color="auto" w:frame="1"/>
            <w:shd w:val="clear" w:color="auto" w:fill="FFFFFF"/>
          </w:rPr>
          <w:t>Section 240</w:t>
        </w:r>
      </w:hyperlink>
      <w:r w:rsidRPr="003B6D7C">
        <w:rPr>
          <w:rFonts w:ascii="Times New Roman" w:hAnsi="Times New Roman" w:cs="Times New Roman"/>
          <w:color w:val="000000" w:themeColor="text1"/>
          <w:shd w:val="clear" w:color="auto" w:fill="FFFFFF"/>
        </w:rPr>
        <w:t>, a witness is unavailable to testify if the witness is “[d]ead or unable to attend or to testify at the hearing because of then-existing physical or mental illness or infirmity</w:t>
      </w:r>
      <w:r>
        <w:rPr>
          <w:rFonts w:ascii="Times New Roman" w:hAnsi="Times New Roman" w:cs="Times New Roman"/>
          <w:color w:val="000000" w:themeColor="text1"/>
          <w:shd w:val="clear" w:color="auto" w:fill="FFFFFF"/>
        </w:rPr>
        <w:t>.</w:t>
      </w:r>
      <w:r w:rsidRPr="003B6D7C">
        <w:rPr>
          <w:rFonts w:ascii="Times New Roman" w:hAnsi="Times New Roman" w:cs="Times New Roman"/>
          <w:color w:val="000000" w:themeColor="text1"/>
          <w:shd w:val="clear" w:color="auto" w:fill="FFFFFF"/>
        </w:rPr>
        <w:t>” (</w:t>
      </w:r>
      <w:hyperlink r:id="rId2" w:anchor="co_pp_28cc0000ccca6" w:history="1">
        <w:r w:rsidRPr="003B6D7C">
          <w:rPr>
            <w:rStyle w:val="Hyperlink"/>
            <w:rFonts w:ascii="Times New Roman" w:hAnsi="Times New Roman" w:cs="Times New Roman"/>
            <w:color w:val="000000" w:themeColor="text1"/>
            <w:bdr w:val="none" w:sz="0" w:space="0" w:color="auto" w:frame="1"/>
            <w:shd w:val="clear" w:color="auto" w:fill="FFFFFF"/>
          </w:rPr>
          <w:t>§ 240, subd. (a)(3)</w:t>
        </w:r>
      </w:hyperlink>
      <w:r w:rsidRPr="003B6D7C">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r w:rsidRPr="003B6D7C">
        <w:rPr>
          <w:rFonts w:ascii="Times New Roman" w:hAnsi="Times New Roman" w:cs="Times New Roman"/>
          <w:color w:val="000000" w:themeColor="text1"/>
          <w:shd w:val="clear" w:color="auto" w:fill="FFFFFF"/>
        </w:rPr>
        <w:t xml:space="preserve"> Ann.</w:t>
      </w:r>
      <w:r>
        <w:rPr>
          <w:rFonts w:ascii="Times New Roman" w:hAnsi="Times New Roman" w:cs="Times New Roman"/>
          <w:color w:val="000000" w:themeColor="text1"/>
          <w:shd w:val="clear" w:color="auto" w:fill="FFFFFF"/>
        </w:rPr>
        <w:t xml:space="preserve"> </w:t>
      </w:r>
      <w:r w:rsidRPr="003B6D7C">
        <w:rPr>
          <w:rFonts w:ascii="Times New Roman" w:hAnsi="Times New Roman" w:cs="Times New Roman"/>
          <w:color w:val="000000" w:themeColor="text1"/>
          <w:shd w:val="clear" w:color="auto" w:fill="FFFFFF"/>
        </w:rPr>
        <w:t>Cal.</w:t>
      </w:r>
      <w:r>
        <w:rPr>
          <w:rFonts w:ascii="Times New Roman" w:hAnsi="Times New Roman" w:cs="Times New Roman"/>
          <w:color w:val="000000" w:themeColor="text1"/>
          <w:shd w:val="clear" w:color="auto" w:fill="FFFFFF"/>
        </w:rPr>
        <w:t xml:space="preserve"> </w:t>
      </w:r>
      <w:r w:rsidRPr="003B6D7C">
        <w:rPr>
          <w:rFonts w:ascii="Times New Roman" w:hAnsi="Times New Roman" w:cs="Times New Roman"/>
          <w:color w:val="000000" w:themeColor="text1"/>
          <w:shd w:val="clear" w:color="auto" w:fill="FFFFFF"/>
        </w:rPr>
        <w:t>Evid.</w:t>
      </w:r>
      <w:r>
        <w:rPr>
          <w:rFonts w:ascii="Times New Roman" w:hAnsi="Times New Roman" w:cs="Times New Roman"/>
          <w:color w:val="000000" w:themeColor="text1"/>
          <w:shd w:val="clear" w:color="auto" w:fill="FFFFFF"/>
        </w:rPr>
        <w:t xml:space="preserve"> </w:t>
      </w:r>
      <w:r w:rsidRPr="003B6D7C">
        <w:rPr>
          <w:rFonts w:ascii="Times New Roman" w:hAnsi="Times New Roman" w:cs="Times New Roman"/>
          <w:color w:val="000000" w:themeColor="text1"/>
          <w:shd w:val="clear" w:color="auto" w:fill="FFFFFF"/>
        </w:rPr>
        <w:t xml:space="preserve">Code § 240. Unavailable as a Witness. </w:t>
      </w:r>
      <w:r>
        <w:rPr>
          <w:rFonts w:ascii="Times New Roman" w:hAnsi="Times New Roman" w:cs="Times New Roman"/>
          <w:color w:val="000000" w:themeColor="text1"/>
          <w:shd w:val="clear" w:color="auto" w:fill="FFFFFF"/>
        </w:rPr>
        <w:t xml:space="preserve">The father in </w:t>
      </w:r>
      <w:r>
        <w:rPr>
          <w:rFonts w:ascii="Times New Roman" w:hAnsi="Times New Roman" w:cs="Times New Roman"/>
          <w:i/>
          <w:iCs/>
          <w:color w:val="000000" w:themeColor="text1"/>
          <w:shd w:val="clear" w:color="auto" w:fill="FFFFFF"/>
        </w:rPr>
        <w:t xml:space="preserve">Daniela G. </w:t>
      </w:r>
      <w:r>
        <w:rPr>
          <w:rFonts w:ascii="Times New Roman" w:hAnsi="Times New Roman" w:cs="Times New Roman"/>
          <w:color w:val="000000" w:themeColor="text1"/>
          <w:shd w:val="clear" w:color="auto" w:fill="FFFFFF"/>
        </w:rPr>
        <w:t xml:space="preserve">argued that because the child was not found to be suffering from a then-existing physical or mental illness, she was not unavailable to testify, and should have testified. </w:t>
      </w:r>
      <w:r w:rsidRPr="00A72FE3">
        <w:rPr>
          <w:rFonts w:ascii="Times New Roman" w:hAnsi="Times New Roman" w:cs="Times New Roman"/>
          <w:color w:val="000000" w:themeColor="text1"/>
          <w:bdr w:val="none" w:sz="0" w:space="0" w:color="auto" w:frame="1"/>
        </w:rPr>
        <w:t>23 Cal.App.5th at 1090-1091.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03767"/>
    <w:multiLevelType w:val="hybridMultilevel"/>
    <w:tmpl w:val="8DCC782A"/>
    <w:lvl w:ilvl="0" w:tplc="65B411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466D5"/>
    <w:multiLevelType w:val="hybridMultilevel"/>
    <w:tmpl w:val="8DCC782A"/>
    <w:lvl w:ilvl="0" w:tplc="65B411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E3"/>
    <w:rsid w:val="0000698F"/>
    <w:rsid w:val="000950AD"/>
    <w:rsid w:val="000A2310"/>
    <w:rsid w:val="001262FE"/>
    <w:rsid w:val="002051F9"/>
    <w:rsid w:val="002451AC"/>
    <w:rsid w:val="0027591D"/>
    <w:rsid w:val="002832C5"/>
    <w:rsid w:val="00290EC1"/>
    <w:rsid w:val="00322AB2"/>
    <w:rsid w:val="003932A9"/>
    <w:rsid w:val="003B6D7C"/>
    <w:rsid w:val="003C7106"/>
    <w:rsid w:val="003D51E2"/>
    <w:rsid w:val="003F1DD8"/>
    <w:rsid w:val="003F31EC"/>
    <w:rsid w:val="00415AAD"/>
    <w:rsid w:val="00427666"/>
    <w:rsid w:val="00452948"/>
    <w:rsid w:val="00463F15"/>
    <w:rsid w:val="00465119"/>
    <w:rsid w:val="004A4534"/>
    <w:rsid w:val="00523FDA"/>
    <w:rsid w:val="005327A6"/>
    <w:rsid w:val="00541898"/>
    <w:rsid w:val="005665CA"/>
    <w:rsid w:val="005843D8"/>
    <w:rsid w:val="00594333"/>
    <w:rsid w:val="005B357F"/>
    <w:rsid w:val="005B41A1"/>
    <w:rsid w:val="005B59A7"/>
    <w:rsid w:val="005F3AD7"/>
    <w:rsid w:val="006127B5"/>
    <w:rsid w:val="006218F3"/>
    <w:rsid w:val="00642D4B"/>
    <w:rsid w:val="00671F30"/>
    <w:rsid w:val="00675A74"/>
    <w:rsid w:val="006E744C"/>
    <w:rsid w:val="007903CC"/>
    <w:rsid w:val="007D7871"/>
    <w:rsid w:val="007F2BF5"/>
    <w:rsid w:val="008155A2"/>
    <w:rsid w:val="008351F0"/>
    <w:rsid w:val="0086121A"/>
    <w:rsid w:val="00892CEE"/>
    <w:rsid w:val="008943F3"/>
    <w:rsid w:val="008D3EF4"/>
    <w:rsid w:val="008F232E"/>
    <w:rsid w:val="00907E50"/>
    <w:rsid w:val="00986D1A"/>
    <w:rsid w:val="00987B18"/>
    <w:rsid w:val="009B317A"/>
    <w:rsid w:val="009E75B2"/>
    <w:rsid w:val="009F06BA"/>
    <w:rsid w:val="00A358D1"/>
    <w:rsid w:val="00A512FC"/>
    <w:rsid w:val="00A72FE3"/>
    <w:rsid w:val="00AE1342"/>
    <w:rsid w:val="00B01AB2"/>
    <w:rsid w:val="00B5142A"/>
    <w:rsid w:val="00BA246D"/>
    <w:rsid w:val="00BE2335"/>
    <w:rsid w:val="00BF5410"/>
    <w:rsid w:val="00C30662"/>
    <w:rsid w:val="00C5382B"/>
    <w:rsid w:val="00C92962"/>
    <w:rsid w:val="00CA05E3"/>
    <w:rsid w:val="00CC49DB"/>
    <w:rsid w:val="00D02FCD"/>
    <w:rsid w:val="00D20CA7"/>
    <w:rsid w:val="00D43272"/>
    <w:rsid w:val="00D5683A"/>
    <w:rsid w:val="00D607CB"/>
    <w:rsid w:val="00DE2527"/>
    <w:rsid w:val="00DE3A30"/>
    <w:rsid w:val="00F15866"/>
    <w:rsid w:val="00F22565"/>
    <w:rsid w:val="00F72F95"/>
    <w:rsid w:val="00FD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9143"/>
  <w15:chartTrackingRefBased/>
  <w15:docId w15:val="{8E21D017-FF52-47E7-A882-58A0184E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E3"/>
    <w:pPr>
      <w:spacing w:after="200" w:line="252" w:lineRule="auto"/>
    </w:pPr>
    <w:rPr>
      <w:rFonts w:asciiTheme="majorHAnsi" w:eastAsiaTheme="majorEastAsia" w:hAnsiTheme="majorHAnsi" w:cstheme="majorBidi"/>
      <w:sz w:val="24"/>
    </w:rPr>
  </w:style>
  <w:style w:type="paragraph" w:styleId="Heading3">
    <w:name w:val="heading 3"/>
    <w:basedOn w:val="Normal"/>
    <w:link w:val="Heading3Char"/>
    <w:uiPriority w:val="9"/>
    <w:qFormat/>
    <w:rsid w:val="004529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5E3"/>
    <w:pPr>
      <w:spacing w:after="0" w:line="240" w:lineRule="auto"/>
    </w:pPr>
    <w:rPr>
      <w:rFonts w:asciiTheme="majorHAnsi" w:eastAsiaTheme="majorEastAsia" w:hAnsiTheme="majorHAnsi" w:cstheme="majorBidi"/>
      <w:sz w:val="24"/>
    </w:rPr>
  </w:style>
  <w:style w:type="character" w:styleId="CommentReference">
    <w:name w:val="annotation reference"/>
    <w:basedOn w:val="DefaultParagraphFont"/>
    <w:uiPriority w:val="99"/>
    <w:semiHidden/>
    <w:unhideWhenUsed/>
    <w:rsid w:val="00D20CA7"/>
    <w:rPr>
      <w:sz w:val="16"/>
      <w:szCs w:val="16"/>
    </w:rPr>
  </w:style>
  <w:style w:type="paragraph" w:styleId="CommentText">
    <w:name w:val="annotation text"/>
    <w:basedOn w:val="Normal"/>
    <w:link w:val="CommentTextChar"/>
    <w:uiPriority w:val="99"/>
    <w:semiHidden/>
    <w:unhideWhenUsed/>
    <w:rsid w:val="00D20CA7"/>
    <w:pPr>
      <w:spacing w:line="240" w:lineRule="auto"/>
    </w:pPr>
    <w:rPr>
      <w:sz w:val="20"/>
      <w:szCs w:val="20"/>
    </w:rPr>
  </w:style>
  <w:style w:type="character" w:customStyle="1" w:styleId="CommentTextChar">
    <w:name w:val="Comment Text Char"/>
    <w:basedOn w:val="DefaultParagraphFont"/>
    <w:link w:val="CommentText"/>
    <w:uiPriority w:val="99"/>
    <w:semiHidden/>
    <w:rsid w:val="00D20CA7"/>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D20CA7"/>
    <w:rPr>
      <w:b/>
      <w:bCs/>
    </w:rPr>
  </w:style>
  <w:style w:type="character" w:customStyle="1" w:styleId="CommentSubjectChar">
    <w:name w:val="Comment Subject Char"/>
    <w:basedOn w:val="CommentTextChar"/>
    <w:link w:val="CommentSubject"/>
    <w:uiPriority w:val="99"/>
    <w:semiHidden/>
    <w:rsid w:val="00D20CA7"/>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D20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A7"/>
    <w:rPr>
      <w:rFonts w:ascii="Segoe UI" w:eastAsiaTheme="majorEastAsia" w:hAnsi="Segoe UI" w:cs="Segoe UI"/>
      <w:sz w:val="18"/>
      <w:szCs w:val="18"/>
    </w:rPr>
  </w:style>
  <w:style w:type="paragraph" w:styleId="Header">
    <w:name w:val="header"/>
    <w:basedOn w:val="Normal"/>
    <w:link w:val="HeaderChar"/>
    <w:uiPriority w:val="99"/>
    <w:unhideWhenUsed/>
    <w:rsid w:val="0012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2FE"/>
    <w:rPr>
      <w:rFonts w:asciiTheme="majorHAnsi" w:eastAsiaTheme="majorEastAsia" w:hAnsiTheme="majorHAnsi" w:cstheme="majorBidi"/>
      <w:sz w:val="24"/>
    </w:rPr>
  </w:style>
  <w:style w:type="paragraph" w:styleId="Footer">
    <w:name w:val="footer"/>
    <w:basedOn w:val="Normal"/>
    <w:link w:val="FooterChar"/>
    <w:uiPriority w:val="99"/>
    <w:unhideWhenUsed/>
    <w:rsid w:val="0012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2FE"/>
    <w:rPr>
      <w:rFonts w:asciiTheme="majorHAnsi" w:eastAsiaTheme="majorEastAsia" w:hAnsiTheme="majorHAnsi" w:cstheme="majorBidi"/>
      <w:sz w:val="24"/>
    </w:rPr>
  </w:style>
  <w:style w:type="character" w:styleId="Hyperlink">
    <w:name w:val="Hyperlink"/>
    <w:basedOn w:val="DefaultParagraphFont"/>
    <w:uiPriority w:val="99"/>
    <w:semiHidden/>
    <w:unhideWhenUsed/>
    <w:rsid w:val="00CC49DB"/>
    <w:rPr>
      <w:color w:val="0000FF"/>
      <w:u w:val="single"/>
    </w:rPr>
  </w:style>
  <w:style w:type="character" w:customStyle="1" w:styleId="Heading3Char">
    <w:name w:val="Heading 3 Char"/>
    <w:basedOn w:val="DefaultParagraphFont"/>
    <w:link w:val="Heading3"/>
    <w:uiPriority w:val="9"/>
    <w:rsid w:val="00452948"/>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3B6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D7C"/>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B6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68225">
      <w:bodyDiv w:val="1"/>
      <w:marLeft w:val="0"/>
      <w:marRight w:val="0"/>
      <w:marTop w:val="0"/>
      <w:marBottom w:val="0"/>
      <w:divBdr>
        <w:top w:val="none" w:sz="0" w:space="0" w:color="auto"/>
        <w:left w:val="none" w:sz="0" w:space="0" w:color="auto"/>
        <w:bottom w:val="none" w:sz="0" w:space="0" w:color="auto"/>
        <w:right w:val="none" w:sz="0" w:space="0" w:color="auto"/>
      </w:divBdr>
      <w:divsChild>
        <w:div w:id="834535686">
          <w:marLeft w:val="0"/>
          <w:marRight w:val="0"/>
          <w:marTop w:val="0"/>
          <w:marBottom w:val="0"/>
          <w:divBdr>
            <w:top w:val="none" w:sz="0" w:space="0" w:color="auto"/>
            <w:left w:val="none" w:sz="0" w:space="0" w:color="auto"/>
            <w:bottom w:val="none" w:sz="0" w:space="0" w:color="auto"/>
            <w:right w:val="none" w:sz="0" w:space="0" w:color="auto"/>
          </w:divBdr>
          <w:divsChild>
            <w:div w:id="881333317">
              <w:marLeft w:val="0"/>
              <w:marRight w:val="0"/>
              <w:marTop w:val="0"/>
              <w:marBottom w:val="0"/>
              <w:divBdr>
                <w:top w:val="none" w:sz="0" w:space="0" w:color="auto"/>
                <w:left w:val="none" w:sz="0" w:space="0" w:color="auto"/>
                <w:bottom w:val="none" w:sz="0" w:space="0" w:color="auto"/>
                <w:right w:val="none" w:sz="0" w:space="0" w:color="auto"/>
              </w:divBdr>
            </w:div>
          </w:divsChild>
        </w:div>
        <w:div w:id="1009793028">
          <w:marLeft w:val="0"/>
          <w:marRight w:val="0"/>
          <w:marTop w:val="0"/>
          <w:marBottom w:val="0"/>
          <w:divBdr>
            <w:top w:val="none" w:sz="0" w:space="0" w:color="auto"/>
            <w:left w:val="none" w:sz="0" w:space="0" w:color="auto"/>
            <w:bottom w:val="none" w:sz="0" w:space="0" w:color="auto"/>
            <w:right w:val="none" w:sz="0" w:space="0" w:color="auto"/>
          </w:divBdr>
          <w:divsChild>
            <w:div w:id="1657759339">
              <w:marLeft w:val="0"/>
              <w:marRight w:val="0"/>
              <w:marTop w:val="0"/>
              <w:marBottom w:val="0"/>
              <w:divBdr>
                <w:top w:val="none" w:sz="0" w:space="0" w:color="auto"/>
                <w:left w:val="none" w:sz="0" w:space="0" w:color="auto"/>
                <w:bottom w:val="none" w:sz="0" w:space="0" w:color="auto"/>
                <w:right w:val="none" w:sz="0" w:space="0" w:color="auto"/>
              </w:divBdr>
            </w:div>
          </w:divsChild>
        </w:div>
        <w:div w:id="1280146176">
          <w:marLeft w:val="0"/>
          <w:marRight w:val="0"/>
          <w:marTop w:val="0"/>
          <w:marBottom w:val="0"/>
          <w:divBdr>
            <w:top w:val="none" w:sz="0" w:space="0" w:color="auto"/>
            <w:left w:val="none" w:sz="0" w:space="0" w:color="auto"/>
            <w:bottom w:val="none" w:sz="0" w:space="0" w:color="auto"/>
            <w:right w:val="none" w:sz="0" w:space="0" w:color="auto"/>
          </w:divBdr>
          <w:divsChild>
            <w:div w:id="931013209">
              <w:marLeft w:val="0"/>
              <w:marRight w:val="0"/>
              <w:marTop w:val="0"/>
              <w:marBottom w:val="0"/>
              <w:divBdr>
                <w:top w:val="none" w:sz="0" w:space="0" w:color="auto"/>
                <w:left w:val="none" w:sz="0" w:space="0" w:color="auto"/>
                <w:bottom w:val="none" w:sz="0" w:space="0" w:color="auto"/>
                <w:right w:val="none" w:sz="0" w:space="0" w:color="auto"/>
              </w:divBdr>
            </w:div>
          </w:divsChild>
        </w:div>
        <w:div w:id="1812283491">
          <w:marLeft w:val="0"/>
          <w:marRight w:val="0"/>
          <w:marTop w:val="0"/>
          <w:marBottom w:val="0"/>
          <w:divBdr>
            <w:top w:val="none" w:sz="0" w:space="0" w:color="auto"/>
            <w:left w:val="none" w:sz="0" w:space="0" w:color="auto"/>
            <w:bottom w:val="none" w:sz="0" w:space="0" w:color="auto"/>
            <w:right w:val="none" w:sz="0" w:space="0" w:color="auto"/>
          </w:divBdr>
          <w:divsChild>
            <w:div w:id="469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0692">
      <w:bodyDiv w:val="1"/>
      <w:marLeft w:val="0"/>
      <w:marRight w:val="0"/>
      <w:marTop w:val="0"/>
      <w:marBottom w:val="0"/>
      <w:divBdr>
        <w:top w:val="none" w:sz="0" w:space="0" w:color="auto"/>
        <w:left w:val="none" w:sz="0" w:space="0" w:color="auto"/>
        <w:bottom w:val="none" w:sz="0" w:space="0" w:color="auto"/>
        <w:right w:val="none" w:sz="0" w:space="0" w:color="auto"/>
      </w:divBdr>
      <w:divsChild>
        <w:div w:id="131366445">
          <w:marLeft w:val="0"/>
          <w:marRight w:val="0"/>
          <w:marTop w:val="0"/>
          <w:marBottom w:val="0"/>
          <w:divBdr>
            <w:top w:val="none" w:sz="0" w:space="0" w:color="auto"/>
            <w:left w:val="none" w:sz="0" w:space="0" w:color="auto"/>
            <w:bottom w:val="none" w:sz="0" w:space="0" w:color="auto"/>
            <w:right w:val="none" w:sz="0" w:space="0" w:color="auto"/>
          </w:divBdr>
          <w:divsChild>
            <w:div w:id="422994701">
              <w:marLeft w:val="0"/>
              <w:marRight w:val="0"/>
              <w:marTop w:val="0"/>
              <w:marBottom w:val="0"/>
              <w:divBdr>
                <w:top w:val="none" w:sz="0" w:space="0" w:color="auto"/>
                <w:left w:val="none" w:sz="0" w:space="0" w:color="auto"/>
                <w:bottom w:val="none" w:sz="0" w:space="0" w:color="auto"/>
                <w:right w:val="none" w:sz="0" w:space="0" w:color="auto"/>
              </w:divBdr>
            </w:div>
          </w:divsChild>
        </w:div>
        <w:div w:id="1174148399">
          <w:marLeft w:val="0"/>
          <w:marRight w:val="0"/>
          <w:marTop w:val="0"/>
          <w:marBottom w:val="0"/>
          <w:divBdr>
            <w:top w:val="none" w:sz="0" w:space="0" w:color="auto"/>
            <w:left w:val="none" w:sz="0" w:space="0" w:color="auto"/>
            <w:bottom w:val="none" w:sz="0" w:space="0" w:color="auto"/>
            <w:right w:val="none" w:sz="0" w:space="0" w:color="auto"/>
          </w:divBdr>
          <w:divsChild>
            <w:div w:id="1105737096">
              <w:marLeft w:val="0"/>
              <w:marRight w:val="0"/>
              <w:marTop w:val="0"/>
              <w:marBottom w:val="0"/>
              <w:divBdr>
                <w:top w:val="none" w:sz="0" w:space="0" w:color="auto"/>
                <w:left w:val="none" w:sz="0" w:space="0" w:color="auto"/>
                <w:bottom w:val="none" w:sz="0" w:space="0" w:color="auto"/>
                <w:right w:val="none" w:sz="0" w:space="0" w:color="auto"/>
              </w:divBdr>
            </w:div>
          </w:divsChild>
        </w:div>
        <w:div w:id="1916550695">
          <w:marLeft w:val="0"/>
          <w:marRight w:val="0"/>
          <w:marTop w:val="0"/>
          <w:marBottom w:val="0"/>
          <w:divBdr>
            <w:top w:val="none" w:sz="0" w:space="0" w:color="auto"/>
            <w:left w:val="none" w:sz="0" w:space="0" w:color="auto"/>
            <w:bottom w:val="none" w:sz="0" w:space="0" w:color="auto"/>
            <w:right w:val="none" w:sz="0" w:space="0" w:color="auto"/>
          </w:divBdr>
          <w:divsChild>
            <w:div w:id="677850628">
              <w:marLeft w:val="0"/>
              <w:marRight w:val="0"/>
              <w:marTop w:val="0"/>
              <w:marBottom w:val="0"/>
              <w:divBdr>
                <w:top w:val="none" w:sz="0" w:space="0" w:color="auto"/>
                <w:left w:val="none" w:sz="0" w:space="0" w:color="auto"/>
                <w:bottom w:val="none" w:sz="0" w:space="0" w:color="auto"/>
                <w:right w:val="none" w:sz="0" w:space="0" w:color="auto"/>
              </w:divBdr>
            </w:div>
          </w:divsChild>
        </w:div>
        <w:div w:id="1605261617">
          <w:marLeft w:val="0"/>
          <w:marRight w:val="0"/>
          <w:marTop w:val="0"/>
          <w:marBottom w:val="0"/>
          <w:divBdr>
            <w:top w:val="none" w:sz="0" w:space="0" w:color="auto"/>
            <w:left w:val="none" w:sz="0" w:space="0" w:color="auto"/>
            <w:bottom w:val="none" w:sz="0" w:space="0" w:color="auto"/>
            <w:right w:val="none" w:sz="0" w:space="0" w:color="auto"/>
          </w:divBdr>
          <w:divsChild>
            <w:div w:id="19210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763">
      <w:bodyDiv w:val="1"/>
      <w:marLeft w:val="0"/>
      <w:marRight w:val="0"/>
      <w:marTop w:val="0"/>
      <w:marBottom w:val="0"/>
      <w:divBdr>
        <w:top w:val="none" w:sz="0" w:space="0" w:color="auto"/>
        <w:left w:val="none" w:sz="0" w:space="0" w:color="auto"/>
        <w:bottom w:val="none" w:sz="0" w:space="0" w:color="auto"/>
        <w:right w:val="none" w:sz="0" w:space="0" w:color="auto"/>
      </w:divBdr>
      <w:divsChild>
        <w:div w:id="505169757">
          <w:marLeft w:val="0"/>
          <w:marRight w:val="0"/>
          <w:marTop w:val="0"/>
          <w:marBottom w:val="0"/>
          <w:divBdr>
            <w:top w:val="none" w:sz="0" w:space="0" w:color="auto"/>
            <w:left w:val="none" w:sz="0" w:space="0" w:color="auto"/>
            <w:bottom w:val="none" w:sz="0" w:space="0" w:color="auto"/>
            <w:right w:val="none" w:sz="0" w:space="0" w:color="auto"/>
          </w:divBdr>
        </w:div>
      </w:divsChild>
    </w:div>
    <w:div w:id="1652369019">
      <w:bodyDiv w:val="1"/>
      <w:marLeft w:val="0"/>
      <w:marRight w:val="0"/>
      <w:marTop w:val="0"/>
      <w:marBottom w:val="0"/>
      <w:divBdr>
        <w:top w:val="none" w:sz="0" w:space="0" w:color="auto"/>
        <w:left w:val="none" w:sz="0" w:space="0" w:color="auto"/>
        <w:bottom w:val="none" w:sz="0" w:space="0" w:color="auto"/>
        <w:right w:val="none" w:sz="0" w:space="0" w:color="auto"/>
      </w:divBdr>
    </w:div>
    <w:div w:id="18084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42&amp;cite=MAST209AS4&amp;originatingDoc=Ia991b757d45811d983e7e9deff98dc6f&amp;refType=LQ&amp;originationContext=document&amp;transitionType=DocumentItem&amp;contextData=(sc.History*oc.UserEnteredCitatio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next.westlaw.com/Link/Document/FullText?findType=L&amp;pubNum=1000207&amp;cite=CAEVS240&amp;originatingDoc=Ifd36c9a063a511e88a14e1fba2b51c53&amp;refType=LQ&amp;originationContext=document&amp;transitionType=DocumentItem&amp;contextData=(sc.Default)"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1.next.westlaw.com/Link/Document/FullText?findType=L&amp;pubNum=1000207&amp;cite=CAEVS240&amp;originatingDoc=Ifd36c9a063a511e88a14e1fba2b51c53&amp;refType=SP&amp;originationContext=document&amp;transitionType=DocumentItem&amp;contextData=(sc.Search)" TargetMode="External"/><Relationship Id="rId1" Type="http://schemas.openxmlformats.org/officeDocument/2006/relationships/hyperlink" Target="https://1.next.westlaw.com/Link/Document/FullText?findType=L&amp;pubNum=1000207&amp;cite=CAEVS240&amp;originatingDoc=Ifd36c9a063a511e88a14e1fba2b51c53&amp;refType=LQ&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5D0D-080F-4D93-805F-A7331967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Charleroy</dc:creator>
  <cp:keywords/>
  <dc:description/>
  <cp:lastModifiedBy>Sarah LoPresti</cp:lastModifiedBy>
  <cp:revision>2</cp:revision>
  <dcterms:created xsi:type="dcterms:W3CDTF">2020-12-21T15:20:00Z</dcterms:created>
  <dcterms:modified xsi:type="dcterms:W3CDTF">2020-12-21T15:20:00Z</dcterms:modified>
</cp:coreProperties>
</file>