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E4" w:rsidRPr="00B7739A" w:rsidRDefault="003B59E4" w:rsidP="003B59E4">
      <w:pPr>
        <w:jc w:val="center"/>
        <w:rPr>
          <w:b/>
          <w:i/>
        </w:rPr>
      </w:pPr>
    </w:p>
    <w:p w:rsidR="00117DD8" w:rsidRPr="00B764C3" w:rsidRDefault="00117DD8" w:rsidP="001C31B6">
      <w:pPr>
        <w:pStyle w:val="NormalWeb"/>
        <w:jc w:val="center"/>
        <w:outlineLvl w:val="0"/>
        <w:rPr>
          <w:color w:val="000000"/>
        </w:rPr>
      </w:pPr>
      <w:r w:rsidRPr="00B764C3">
        <w:rPr>
          <w:color w:val="000000"/>
        </w:rPr>
        <w:t>COMMONWEALTH OF MASSACHUSETTS</w:t>
      </w:r>
    </w:p>
    <w:p w:rsidR="00117DD8" w:rsidRPr="00B764C3" w:rsidRDefault="00117DD8" w:rsidP="00117DD8">
      <w:pPr>
        <w:rPr>
          <w:color w:val="000000"/>
        </w:rPr>
      </w:pPr>
      <w:r w:rsidRPr="00B764C3">
        <w:rPr>
          <w:color w:val="000000"/>
        </w:rPr>
        <w:t> </w:t>
      </w:r>
    </w:p>
    <w:p w:rsidR="00117DD8" w:rsidRPr="00B764C3" w:rsidRDefault="00042D8B" w:rsidP="00716039">
      <w:pPr>
        <w:ind w:right="-270"/>
        <w:jc w:val="both"/>
        <w:outlineLvl w:val="0"/>
        <w:rPr>
          <w:color w:val="000000"/>
        </w:rPr>
      </w:pPr>
      <w:r>
        <w:rPr>
          <w:color w:val="000000"/>
        </w:rPr>
        <w:t>_____________</w:t>
      </w:r>
      <w:r w:rsidR="002B7F48" w:rsidRPr="00B764C3">
        <w:rPr>
          <w:color w:val="000000"/>
        </w:rPr>
        <w:t xml:space="preserve">, </w:t>
      </w:r>
      <w:proofErr w:type="spellStart"/>
      <w:r w:rsidR="00117DD8" w:rsidRPr="00B764C3">
        <w:rPr>
          <w:color w:val="000000"/>
        </w:rPr>
        <w:t>s</w:t>
      </w:r>
      <w:r w:rsidR="002B7F48" w:rsidRPr="00B764C3">
        <w:rPr>
          <w:color w:val="000000"/>
        </w:rPr>
        <w:t>s</w:t>
      </w:r>
      <w:proofErr w:type="spellEnd"/>
      <w:r w:rsidR="002B7F48" w:rsidRPr="00B764C3">
        <w:rPr>
          <w:color w:val="000000"/>
        </w:rPr>
        <w:t xml:space="preserve">                          </w:t>
      </w:r>
      <w:r w:rsidR="00B764C3">
        <w:rPr>
          <w:color w:val="000000"/>
        </w:rPr>
        <w:tab/>
      </w:r>
      <w:r w:rsidR="00B764C3">
        <w:rPr>
          <w:color w:val="000000"/>
        </w:rPr>
        <w:tab/>
      </w:r>
      <w:r w:rsidR="00B764C3">
        <w:rPr>
          <w:color w:val="000000"/>
        </w:rPr>
        <w:tab/>
      </w:r>
      <w:r w:rsidR="009E3172">
        <w:rPr>
          <w:color w:val="000000"/>
        </w:rPr>
        <w:t xml:space="preserve"> </w:t>
      </w:r>
      <w:r>
        <w:rPr>
          <w:color w:val="000000"/>
        </w:rPr>
        <w:t>_________</w:t>
      </w:r>
      <w:r w:rsidR="0058196D">
        <w:rPr>
          <w:color w:val="000000"/>
        </w:rPr>
        <w:t xml:space="preserve"> J</w:t>
      </w:r>
      <w:r w:rsidR="00117DD8" w:rsidRPr="00B764C3">
        <w:rPr>
          <w:color w:val="000000"/>
        </w:rPr>
        <w:t>UVENILE COURT</w:t>
      </w:r>
    </w:p>
    <w:p w:rsidR="00117DD8" w:rsidRPr="00B764C3" w:rsidRDefault="00117DD8" w:rsidP="00B764C3">
      <w:pPr>
        <w:jc w:val="both"/>
        <w:outlineLvl w:val="0"/>
        <w:rPr>
          <w:color w:val="000000"/>
        </w:rPr>
      </w:pPr>
      <w:r w:rsidRPr="00B764C3">
        <w:rPr>
          <w:color w:val="000000"/>
        </w:rPr>
        <w:t>           </w:t>
      </w:r>
      <w:r w:rsidR="002B7F48" w:rsidRPr="00B764C3">
        <w:rPr>
          <w:color w:val="000000"/>
        </w:rPr>
        <w:t>                          </w:t>
      </w:r>
      <w:r w:rsidR="00B764C3">
        <w:rPr>
          <w:color w:val="000000"/>
        </w:rPr>
        <w:tab/>
      </w:r>
      <w:r w:rsidR="00B764C3">
        <w:rPr>
          <w:color w:val="000000"/>
        </w:rPr>
        <w:tab/>
      </w:r>
      <w:r w:rsidR="00B764C3">
        <w:rPr>
          <w:color w:val="000000"/>
        </w:rPr>
        <w:tab/>
      </w:r>
      <w:r w:rsidR="00B764C3">
        <w:rPr>
          <w:color w:val="000000"/>
        </w:rPr>
        <w:tab/>
        <w:t xml:space="preserve"> </w:t>
      </w:r>
      <w:r w:rsidR="00042D8B">
        <w:rPr>
          <w:color w:val="000000"/>
        </w:rPr>
        <w:t>______</w:t>
      </w:r>
      <w:r w:rsidR="00042D8B" w:rsidRPr="00B764C3">
        <w:rPr>
          <w:color w:val="000000"/>
        </w:rPr>
        <w:t xml:space="preserve"> </w:t>
      </w:r>
      <w:r w:rsidRPr="00B764C3">
        <w:rPr>
          <w:color w:val="000000"/>
        </w:rPr>
        <w:t>DIVISION</w:t>
      </w:r>
    </w:p>
    <w:p w:rsidR="00117DD8" w:rsidRPr="00B764C3" w:rsidRDefault="002B7F48" w:rsidP="00B764C3">
      <w:pPr>
        <w:ind w:left="5040"/>
        <w:jc w:val="both"/>
        <w:outlineLvl w:val="0"/>
        <w:rPr>
          <w:color w:val="000000"/>
        </w:rPr>
      </w:pPr>
      <w:r w:rsidRPr="00B764C3">
        <w:rPr>
          <w:color w:val="000000"/>
        </w:rPr>
        <w:t xml:space="preserve"> </w:t>
      </w:r>
      <w:r w:rsidR="00AB4FEA" w:rsidRPr="00B764C3">
        <w:rPr>
          <w:color w:val="000000"/>
        </w:rPr>
        <w:t xml:space="preserve">DOCKET NO. </w:t>
      </w:r>
      <w:r w:rsidR="00042D8B">
        <w:rPr>
          <w:color w:val="000000"/>
        </w:rPr>
        <w:t>______</w:t>
      </w:r>
    </w:p>
    <w:p w:rsidR="00117DD8" w:rsidRPr="00B764C3" w:rsidRDefault="00117DD8" w:rsidP="00117DD8">
      <w:pPr>
        <w:rPr>
          <w:color w:val="000000"/>
        </w:rPr>
      </w:pPr>
      <w:r w:rsidRPr="00B764C3">
        <w:rPr>
          <w:color w:val="000000"/>
        </w:rPr>
        <w:t>______________________________                            </w:t>
      </w:r>
    </w:p>
    <w:p w:rsidR="00117DD8" w:rsidRPr="00B764C3" w:rsidRDefault="00117DD8" w:rsidP="00117DD8">
      <w:pPr>
        <w:rPr>
          <w:color w:val="000000"/>
        </w:rPr>
      </w:pPr>
      <w:r w:rsidRPr="00B764C3">
        <w:rPr>
          <w:color w:val="000000"/>
        </w:rPr>
        <w:t xml:space="preserve">                                </w:t>
      </w:r>
    </w:p>
    <w:p w:rsidR="00117DD8" w:rsidRPr="00B764C3" w:rsidRDefault="00117DD8" w:rsidP="00117DD8">
      <w:pPr>
        <w:rPr>
          <w:color w:val="000000"/>
        </w:rPr>
      </w:pPr>
      <w:r w:rsidRPr="00B764C3">
        <w:rPr>
          <w:color w:val="000000"/>
        </w:rPr>
        <w:t xml:space="preserve">IN RE:                          </w:t>
      </w:r>
    </w:p>
    <w:p w:rsidR="00117DD8" w:rsidRPr="00B764C3" w:rsidRDefault="00117DD8" w:rsidP="00117DD8">
      <w:pPr>
        <w:rPr>
          <w:color w:val="000000"/>
        </w:rPr>
      </w:pPr>
      <w:r w:rsidRPr="00B764C3">
        <w:rPr>
          <w:color w:val="000000"/>
        </w:rPr>
        <w:t xml:space="preserve">Care and Protection of          </w:t>
      </w:r>
    </w:p>
    <w:p w:rsidR="00117DD8" w:rsidRPr="00B764C3" w:rsidRDefault="00042D8B" w:rsidP="00117DD8">
      <w:pPr>
        <w:rPr>
          <w:color w:val="000000"/>
        </w:rPr>
      </w:pPr>
      <w:r>
        <w:rPr>
          <w:color w:val="000000"/>
        </w:rPr>
        <w:t>___________</w:t>
      </w:r>
      <w:r w:rsidR="004C117B">
        <w:rPr>
          <w:color w:val="000000"/>
        </w:rPr>
        <w:t xml:space="preserve"> (DOB: </w:t>
      </w:r>
      <w:r>
        <w:rPr>
          <w:color w:val="000000"/>
        </w:rPr>
        <w:t>_/_/__</w:t>
      </w:r>
      <w:r w:rsidR="004C117B">
        <w:rPr>
          <w:color w:val="000000"/>
        </w:rPr>
        <w:t>)</w:t>
      </w:r>
    </w:p>
    <w:p w:rsidR="00117DD8" w:rsidRPr="00B764C3" w:rsidRDefault="00117DD8" w:rsidP="00117DD8">
      <w:pPr>
        <w:rPr>
          <w:color w:val="000000"/>
        </w:rPr>
      </w:pPr>
      <w:r w:rsidRPr="00B764C3">
        <w:rPr>
          <w:color w:val="000000"/>
        </w:rPr>
        <w:t>______________________________</w:t>
      </w:r>
    </w:p>
    <w:p w:rsidR="00117DD8" w:rsidRPr="00B764C3" w:rsidRDefault="00117DD8" w:rsidP="00117DD8">
      <w:pPr>
        <w:rPr>
          <w:color w:val="000000"/>
        </w:rPr>
      </w:pPr>
      <w:r w:rsidRPr="00B764C3">
        <w:rPr>
          <w:color w:val="000000"/>
        </w:rPr>
        <w:t> </w:t>
      </w:r>
    </w:p>
    <w:p w:rsidR="002B7F48" w:rsidRPr="00716039" w:rsidRDefault="00117DD8" w:rsidP="001C31B6">
      <w:pPr>
        <w:jc w:val="center"/>
        <w:outlineLvl w:val="0"/>
        <w:rPr>
          <w:b/>
          <w:bCs/>
          <w:color w:val="000000"/>
        </w:rPr>
      </w:pPr>
      <w:r w:rsidRPr="00716039">
        <w:rPr>
          <w:b/>
          <w:bCs/>
          <w:color w:val="000000"/>
        </w:rPr>
        <w:t xml:space="preserve">MOTION FOR </w:t>
      </w:r>
      <w:r w:rsidR="002B7F48" w:rsidRPr="00716039">
        <w:rPr>
          <w:b/>
          <w:bCs/>
          <w:color w:val="000000"/>
        </w:rPr>
        <w:t xml:space="preserve">IMMEDIATE </w:t>
      </w:r>
    </w:p>
    <w:p w:rsidR="00117DD8" w:rsidRPr="00B764C3" w:rsidRDefault="00117DD8" w:rsidP="001C31B6">
      <w:pPr>
        <w:jc w:val="center"/>
        <w:outlineLvl w:val="0"/>
        <w:rPr>
          <w:color w:val="000000"/>
        </w:rPr>
      </w:pPr>
      <w:r w:rsidRPr="00B764C3">
        <w:rPr>
          <w:b/>
          <w:bCs/>
          <w:color w:val="000000"/>
          <w:u w:val="single"/>
        </w:rPr>
        <w:t xml:space="preserve">CUSTODY </w:t>
      </w:r>
      <w:r w:rsidR="002B7F48" w:rsidRPr="00B764C3">
        <w:rPr>
          <w:b/>
          <w:bCs/>
          <w:color w:val="000000"/>
          <w:u w:val="single"/>
        </w:rPr>
        <w:t>TO FATHER</w:t>
      </w:r>
    </w:p>
    <w:p w:rsidR="00117DD8" w:rsidRPr="00B764C3" w:rsidRDefault="00117DD8" w:rsidP="00117DD8">
      <w:pPr>
        <w:spacing w:line="390" w:lineRule="atLeast"/>
        <w:rPr>
          <w:color w:val="000000"/>
        </w:rPr>
      </w:pPr>
      <w:r w:rsidRPr="00B764C3">
        <w:rPr>
          <w:color w:val="000000"/>
        </w:rPr>
        <w:t>                                                 </w:t>
      </w:r>
    </w:p>
    <w:p w:rsidR="00117DD8" w:rsidRPr="00B764C3" w:rsidRDefault="00042D8B" w:rsidP="0039119E">
      <w:pPr>
        <w:spacing w:line="480" w:lineRule="auto"/>
        <w:ind w:firstLine="720"/>
        <w:rPr>
          <w:color w:val="000000"/>
        </w:rPr>
      </w:pPr>
      <w:r>
        <w:rPr>
          <w:color w:val="000000"/>
        </w:rPr>
        <w:t>_______</w:t>
      </w:r>
      <w:r w:rsidR="00117DD8" w:rsidRPr="00B764C3">
        <w:rPr>
          <w:color w:val="000000"/>
        </w:rPr>
        <w:t xml:space="preserve">, </w:t>
      </w:r>
      <w:r w:rsidR="00B764C3">
        <w:rPr>
          <w:color w:val="000000"/>
        </w:rPr>
        <w:t>F</w:t>
      </w:r>
      <w:r w:rsidR="00117DD8" w:rsidRPr="00B764C3">
        <w:rPr>
          <w:color w:val="000000"/>
        </w:rPr>
        <w:t xml:space="preserve">ather in this matter (“Father”), respectfully moves that this Court grant him custody without the need for </w:t>
      </w:r>
      <w:r w:rsidR="00275F47" w:rsidRPr="00B764C3">
        <w:rPr>
          <w:color w:val="000000"/>
        </w:rPr>
        <w:t xml:space="preserve">a </w:t>
      </w:r>
      <w:r w:rsidR="00117DD8" w:rsidRPr="00B764C3">
        <w:rPr>
          <w:color w:val="000000"/>
        </w:rPr>
        <w:t xml:space="preserve">home study under the Interstate Compact on the Placement of Children (“ICPC” or “Compact”).  </w:t>
      </w:r>
      <w:r w:rsidR="009E3172">
        <w:rPr>
          <w:color w:val="000000"/>
        </w:rPr>
        <w:t>A</w:t>
      </w:r>
      <w:r w:rsidR="00117DD8" w:rsidRPr="00B764C3">
        <w:rPr>
          <w:color w:val="000000"/>
        </w:rPr>
        <w:t xml:space="preserve"> home study</w:t>
      </w:r>
      <w:r w:rsidR="009E3172">
        <w:rPr>
          <w:color w:val="000000"/>
        </w:rPr>
        <w:t xml:space="preserve"> is unnecessary because the ICPC applies to placements for foster care or adoption, not for custody orders to parents.  Further, the home study </w:t>
      </w:r>
      <w:r w:rsidR="00117DD8" w:rsidRPr="00B764C3">
        <w:rPr>
          <w:color w:val="000000"/>
        </w:rPr>
        <w:t xml:space="preserve">requirement would deprive Father of his </w:t>
      </w:r>
      <w:r w:rsidR="009E3172">
        <w:rPr>
          <w:color w:val="000000"/>
        </w:rPr>
        <w:t xml:space="preserve">state and federal </w:t>
      </w:r>
      <w:r w:rsidR="00117DD8" w:rsidRPr="00B764C3">
        <w:rPr>
          <w:color w:val="000000"/>
        </w:rPr>
        <w:t>due process rights to the care and custody of his child.</w:t>
      </w:r>
      <w:r w:rsidR="003D1A97" w:rsidRPr="00B764C3">
        <w:rPr>
          <w:color w:val="000000"/>
        </w:rPr>
        <w:t xml:space="preserve">  </w:t>
      </w:r>
      <w:r w:rsidR="00E12AD8" w:rsidRPr="00B764C3">
        <w:rPr>
          <w:color w:val="000000"/>
        </w:rPr>
        <w:t>I</w:t>
      </w:r>
      <w:r w:rsidR="00A33232" w:rsidRPr="00B764C3">
        <w:rPr>
          <w:color w:val="000000"/>
        </w:rPr>
        <w:t xml:space="preserve">t would </w:t>
      </w:r>
      <w:r w:rsidR="00E12AD8" w:rsidRPr="00B764C3">
        <w:rPr>
          <w:color w:val="000000"/>
        </w:rPr>
        <w:t xml:space="preserve">also </w:t>
      </w:r>
      <w:r w:rsidR="00A33232" w:rsidRPr="00B764C3">
        <w:rPr>
          <w:color w:val="000000"/>
        </w:rPr>
        <w:t>violate his right to equal protection of the laws</w:t>
      </w:r>
      <w:r w:rsidR="0040680C" w:rsidRPr="00B764C3">
        <w:rPr>
          <w:color w:val="000000"/>
        </w:rPr>
        <w:t>,</w:t>
      </w:r>
      <w:r w:rsidR="00A33232" w:rsidRPr="00B764C3">
        <w:rPr>
          <w:color w:val="000000"/>
        </w:rPr>
        <w:t xml:space="preserve"> and</w:t>
      </w:r>
      <w:r w:rsidR="00E12AD8" w:rsidRPr="00B764C3">
        <w:rPr>
          <w:color w:val="000000"/>
        </w:rPr>
        <w:t xml:space="preserve"> his right</w:t>
      </w:r>
      <w:r w:rsidR="00A33232" w:rsidRPr="00B764C3">
        <w:rPr>
          <w:color w:val="000000"/>
        </w:rPr>
        <w:t xml:space="preserve"> </w:t>
      </w:r>
      <w:r w:rsidR="0040680C" w:rsidRPr="00B764C3">
        <w:rPr>
          <w:color w:val="000000"/>
        </w:rPr>
        <w:t>to</w:t>
      </w:r>
      <w:r w:rsidR="00A33232" w:rsidRPr="00B764C3">
        <w:rPr>
          <w:color w:val="000000"/>
        </w:rPr>
        <w:t xml:space="preserve"> migrate between states.  T</w:t>
      </w:r>
      <w:r w:rsidR="0039119E" w:rsidRPr="00B764C3">
        <w:rPr>
          <w:color w:val="000000"/>
        </w:rPr>
        <w:t>his</w:t>
      </w:r>
      <w:r w:rsidR="003D1A97" w:rsidRPr="00B764C3">
        <w:rPr>
          <w:color w:val="000000"/>
        </w:rPr>
        <w:t xml:space="preserve"> </w:t>
      </w:r>
      <w:r w:rsidR="0039119E" w:rsidRPr="00B764C3">
        <w:rPr>
          <w:color w:val="000000"/>
        </w:rPr>
        <w:t>Court</w:t>
      </w:r>
      <w:r w:rsidR="003D1A97" w:rsidRPr="00B764C3">
        <w:rPr>
          <w:color w:val="000000"/>
        </w:rPr>
        <w:t>’s inability to circumvent or override the home study requirement violate</w:t>
      </w:r>
      <w:r w:rsidR="0039119E" w:rsidRPr="00B764C3">
        <w:rPr>
          <w:color w:val="000000"/>
        </w:rPr>
        <w:t>s</w:t>
      </w:r>
      <w:r w:rsidR="003D1A97" w:rsidRPr="00B764C3">
        <w:rPr>
          <w:color w:val="000000"/>
        </w:rPr>
        <w:t xml:space="preserve"> </w:t>
      </w:r>
      <w:r w:rsidR="00275F47" w:rsidRPr="00B764C3">
        <w:rPr>
          <w:color w:val="000000"/>
        </w:rPr>
        <w:t>Father’s</w:t>
      </w:r>
      <w:r w:rsidR="003D1A97" w:rsidRPr="00B764C3">
        <w:rPr>
          <w:color w:val="000000"/>
        </w:rPr>
        <w:t xml:space="preserve"> right of access to the courts</w:t>
      </w:r>
      <w:r w:rsidR="00A33232" w:rsidRPr="00B764C3">
        <w:rPr>
          <w:color w:val="000000"/>
        </w:rPr>
        <w:t>, as well as the state’s separation of powers and the inherent power of the Court.</w:t>
      </w:r>
    </w:p>
    <w:p w:rsidR="00117DD8" w:rsidRPr="00B764C3" w:rsidRDefault="00117DD8" w:rsidP="0039119E">
      <w:pPr>
        <w:spacing w:line="480" w:lineRule="auto"/>
        <w:ind w:firstLine="720"/>
        <w:rPr>
          <w:color w:val="000000"/>
        </w:rPr>
      </w:pPr>
      <w:r w:rsidRPr="00B764C3">
        <w:rPr>
          <w:color w:val="000000"/>
        </w:rPr>
        <w:t>In support of this motion, Father respectfully represents as follows:</w:t>
      </w:r>
    </w:p>
    <w:p w:rsidR="00117DD8" w:rsidRPr="00B764C3" w:rsidRDefault="00117DD8" w:rsidP="001C31B6">
      <w:pPr>
        <w:spacing w:line="480" w:lineRule="auto"/>
        <w:jc w:val="center"/>
        <w:outlineLvl w:val="0"/>
        <w:rPr>
          <w:color w:val="000000"/>
        </w:rPr>
      </w:pPr>
      <w:r w:rsidRPr="00B764C3">
        <w:rPr>
          <w:b/>
          <w:bCs/>
          <w:color w:val="000000"/>
        </w:rPr>
        <w:t>BACKGROUND</w:t>
      </w:r>
    </w:p>
    <w:p w:rsidR="006C421D" w:rsidRPr="00716039" w:rsidRDefault="00042D8B" w:rsidP="00716039">
      <w:pPr>
        <w:numPr>
          <w:ilvl w:val="0"/>
          <w:numId w:val="3"/>
        </w:numPr>
        <w:spacing w:line="480" w:lineRule="auto"/>
        <w:ind w:left="0" w:firstLine="720"/>
        <w:rPr>
          <w:color w:val="000000"/>
        </w:rPr>
      </w:pPr>
      <w:r w:rsidRPr="00716039">
        <w:rPr>
          <w:color w:val="000000"/>
        </w:rPr>
        <w:lastRenderedPageBreak/>
        <w:t xml:space="preserve">[Facts about filing of case, </w:t>
      </w:r>
      <w:r>
        <w:rPr>
          <w:color w:val="000000"/>
        </w:rPr>
        <w:t xml:space="preserve">where everybody lives, </w:t>
      </w:r>
      <w:r w:rsidRPr="00716039">
        <w:rPr>
          <w:color w:val="000000"/>
        </w:rPr>
        <w:t>who has custody and from which court</w:t>
      </w:r>
      <w:r>
        <w:rPr>
          <w:color w:val="000000"/>
        </w:rPr>
        <w:t xml:space="preserve">.  </w:t>
      </w:r>
      <w:r w:rsidR="0096100E" w:rsidRPr="00716039">
        <w:rPr>
          <w:rStyle w:val="apple-converted-space"/>
          <w:color w:val="000000"/>
        </w:rPr>
        <w:t xml:space="preserve">Make sure you have an affidavit from the </w:t>
      </w:r>
      <w:r>
        <w:rPr>
          <w:rStyle w:val="apple-converted-space"/>
          <w:color w:val="000000"/>
        </w:rPr>
        <w:t>client</w:t>
      </w:r>
      <w:r w:rsidR="0096100E" w:rsidRPr="00716039">
        <w:rPr>
          <w:rStyle w:val="apple-converted-space"/>
          <w:color w:val="000000"/>
        </w:rPr>
        <w:t xml:space="preserve"> that covers all of the facts in this “Background” section.]</w:t>
      </w:r>
    </w:p>
    <w:p w:rsidR="00E13959" w:rsidRPr="00716039" w:rsidRDefault="00042D8B" w:rsidP="00716039">
      <w:pPr>
        <w:numPr>
          <w:ilvl w:val="0"/>
          <w:numId w:val="3"/>
        </w:numPr>
        <w:spacing w:line="480" w:lineRule="auto"/>
        <w:ind w:left="0" w:firstLine="720"/>
        <w:rPr>
          <w:rStyle w:val="apple-converted-space"/>
          <w:b/>
          <w:color w:val="000000"/>
        </w:rPr>
      </w:pPr>
      <w:r>
        <w:rPr>
          <w:rStyle w:val="apple-converted-space"/>
          <w:color w:val="000000"/>
        </w:rPr>
        <w:t>[Include facts about the good relationship between the client and the child, if any – living with, visits, etc.]</w:t>
      </w:r>
    </w:p>
    <w:p w:rsidR="009F1721" w:rsidRPr="00B764C3" w:rsidRDefault="006C421D" w:rsidP="00716039">
      <w:pPr>
        <w:spacing w:line="480" w:lineRule="auto"/>
        <w:ind w:firstLine="720"/>
        <w:rPr>
          <w:color w:val="000000"/>
        </w:rPr>
      </w:pPr>
      <w:r w:rsidRPr="00B764C3">
        <w:rPr>
          <w:rStyle w:val="apple-converted-space"/>
          <w:color w:val="000000"/>
        </w:rPr>
        <w:t xml:space="preserve">3. </w:t>
      </w:r>
      <w:r w:rsidR="0058196D">
        <w:rPr>
          <w:rStyle w:val="apple-converted-space"/>
          <w:color w:val="000000"/>
        </w:rPr>
        <w:tab/>
      </w:r>
      <w:r w:rsidR="0096100E" w:rsidRPr="00716039">
        <w:rPr>
          <w:color w:val="000000"/>
        </w:rPr>
        <w:t xml:space="preserve">[Note that </w:t>
      </w:r>
      <w:r w:rsidR="00042D8B">
        <w:rPr>
          <w:color w:val="000000"/>
        </w:rPr>
        <w:t>the client</w:t>
      </w:r>
      <w:r w:rsidR="0096100E" w:rsidRPr="00716039">
        <w:rPr>
          <w:color w:val="000000"/>
        </w:rPr>
        <w:t xml:space="preserve"> has no history with Massachusetts or </w:t>
      </w:r>
      <w:r w:rsidR="00042D8B">
        <w:rPr>
          <w:color w:val="000000"/>
        </w:rPr>
        <w:t>his home state’s</w:t>
      </w:r>
      <w:r w:rsidR="0096100E" w:rsidRPr="00716039">
        <w:rPr>
          <w:color w:val="000000"/>
        </w:rPr>
        <w:t xml:space="preserve"> protective services</w:t>
      </w:r>
      <w:r w:rsidR="00042D8B">
        <w:rPr>
          <w:color w:val="000000"/>
        </w:rPr>
        <w:t>, as well as no criminal background.  If his agency and criminal history exist but are minor or old, note that.]</w:t>
      </w:r>
      <w:r w:rsidR="0096100E" w:rsidRPr="00716039">
        <w:rPr>
          <w:color w:val="000000"/>
        </w:rPr>
        <w:t xml:space="preserve">  </w:t>
      </w:r>
    </w:p>
    <w:p w:rsidR="009F1721" w:rsidRPr="00B764C3" w:rsidRDefault="00042D8B" w:rsidP="00C9110D">
      <w:pPr>
        <w:spacing w:line="480" w:lineRule="auto"/>
        <w:ind w:firstLine="720"/>
        <w:rPr>
          <w:color w:val="000000"/>
        </w:rPr>
      </w:pPr>
      <w:r>
        <w:rPr>
          <w:color w:val="000000"/>
        </w:rPr>
        <w:t>4</w:t>
      </w:r>
      <w:r w:rsidR="009F1721" w:rsidRPr="00B764C3">
        <w:rPr>
          <w:color w:val="000000"/>
        </w:rPr>
        <w:t xml:space="preserve">. </w:t>
      </w:r>
      <w:r w:rsidR="0058196D">
        <w:rPr>
          <w:color w:val="000000"/>
        </w:rPr>
        <w:tab/>
      </w:r>
      <w:r>
        <w:rPr>
          <w:color w:val="000000"/>
        </w:rPr>
        <w:t>[Note whether DCF concedes that the client is fit and doesn’t pose a risk of harm to the child.  Note, as well, if the court has made a finding (written or oral) like that</w:t>
      </w:r>
      <w:proofErr w:type="gramStart"/>
      <w:r>
        <w:rPr>
          <w:color w:val="000000"/>
        </w:rPr>
        <w:t>:  “</w:t>
      </w:r>
      <w:proofErr w:type="gramEnd"/>
      <w:r>
        <w:rPr>
          <w:color w:val="000000"/>
        </w:rPr>
        <w:t>I find Father fit, but I can’t send the child to Florida.  If it weren’t for the ICPC, sir, I’d send the child to you right away.”  Or something like that.]</w:t>
      </w:r>
    </w:p>
    <w:p w:rsidR="009A6DA8" w:rsidRPr="00B764C3" w:rsidRDefault="008E7C16" w:rsidP="00C9110D">
      <w:pPr>
        <w:spacing w:line="480" w:lineRule="auto"/>
        <w:ind w:firstLine="720"/>
        <w:rPr>
          <w:color w:val="000000"/>
        </w:rPr>
      </w:pPr>
      <w:r w:rsidRPr="00B764C3">
        <w:rPr>
          <w:color w:val="000000"/>
        </w:rPr>
        <w:t>8</w:t>
      </w:r>
      <w:r w:rsidR="009F1721" w:rsidRPr="00B764C3">
        <w:rPr>
          <w:color w:val="000000"/>
        </w:rPr>
        <w:t xml:space="preserve">. </w:t>
      </w:r>
      <w:r w:rsidR="0058196D">
        <w:rPr>
          <w:color w:val="000000"/>
        </w:rPr>
        <w:tab/>
      </w:r>
      <w:r w:rsidR="0096100E">
        <w:rPr>
          <w:color w:val="000000"/>
        </w:rPr>
        <w:t xml:space="preserve">A home study by </w:t>
      </w:r>
      <w:r w:rsidR="00E13959">
        <w:rPr>
          <w:color w:val="000000"/>
        </w:rPr>
        <w:t xml:space="preserve">the State of </w:t>
      </w:r>
      <w:r w:rsidR="00042D8B">
        <w:rPr>
          <w:color w:val="000000"/>
        </w:rPr>
        <w:t xml:space="preserve">______ </w:t>
      </w:r>
      <w:r w:rsidR="00E13959">
        <w:rPr>
          <w:color w:val="000000"/>
        </w:rPr>
        <w:t>can take months</w:t>
      </w:r>
      <w:r w:rsidR="0096100E">
        <w:rPr>
          <w:color w:val="000000"/>
        </w:rPr>
        <w:t>;</w:t>
      </w:r>
      <w:r w:rsidR="00E13959">
        <w:rPr>
          <w:color w:val="000000"/>
        </w:rPr>
        <w:t xml:space="preserve"> given the current pandemic</w:t>
      </w:r>
      <w:r w:rsidR="0096100E">
        <w:rPr>
          <w:color w:val="000000"/>
        </w:rPr>
        <w:t>,</w:t>
      </w:r>
      <w:r w:rsidR="00E13959">
        <w:rPr>
          <w:color w:val="000000"/>
        </w:rPr>
        <w:t xml:space="preserve"> it is likely that it would take longer.</w:t>
      </w:r>
      <w:r w:rsidR="00042D8B">
        <w:rPr>
          <w:color w:val="000000"/>
        </w:rPr>
        <w:t xml:space="preserve">  [Find out, if possible, how long a home study will take in the relevant state.]</w:t>
      </w:r>
    </w:p>
    <w:p w:rsidR="00117DD8" w:rsidRPr="00B764C3" w:rsidRDefault="008E7C16" w:rsidP="00C9110D">
      <w:pPr>
        <w:spacing w:line="480" w:lineRule="auto"/>
        <w:jc w:val="center"/>
        <w:outlineLvl w:val="0"/>
        <w:rPr>
          <w:color w:val="000000"/>
        </w:rPr>
      </w:pPr>
      <w:r w:rsidRPr="00B764C3">
        <w:rPr>
          <w:b/>
          <w:bCs/>
          <w:color w:val="000000"/>
        </w:rPr>
        <w:t>DISCUSSION</w:t>
      </w:r>
    </w:p>
    <w:p w:rsidR="00117DD8" w:rsidRPr="00B764C3" w:rsidRDefault="00E010DE" w:rsidP="00117DBA">
      <w:pPr>
        <w:spacing w:line="480" w:lineRule="auto"/>
        <w:ind w:firstLine="720"/>
        <w:rPr>
          <w:color w:val="000000"/>
        </w:rPr>
      </w:pPr>
      <w:r w:rsidRPr="00B764C3">
        <w:rPr>
          <w:color w:val="000000"/>
        </w:rPr>
        <w:t xml:space="preserve">The ICPC </w:t>
      </w:r>
      <w:r w:rsidR="0096100E">
        <w:rPr>
          <w:color w:val="000000"/>
        </w:rPr>
        <w:t xml:space="preserve">applies to placements for purposes of foster care and adoption; it </w:t>
      </w:r>
      <w:r w:rsidRPr="00B764C3">
        <w:rPr>
          <w:color w:val="000000"/>
        </w:rPr>
        <w:t xml:space="preserve">does not apply to </w:t>
      </w:r>
      <w:r w:rsidR="008F512B" w:rsidRPr="00B764C3">
        <w:rPr>
          <w:color w:val="000000"/>
        </w:rPr>
        <w:t>grants of custody to</w:t>
      </w:r>
      <w:r w:rsidRPr="00B764C3">
        <w:rPr>
          <w:color w:val="000000"/>
        </w:rPr>
        <w:t xml:space="preserve"> out-of-state parents.  This intent is clear in the </w:t>
      </w:r>
      <w:r w:rsidR="00520E2D" w:rsidRPr="00B764C3">
        <w:rPr>
          <w:color w:val="000000"/>
        </w:rPr>
        <w:t xml:space="preserve">language and </w:t>
      </w:r>
      <w:r w:rsidRPr="00B764C3">
        <w:rPr>
          <w:color w:val="000000"/>
        </w:rPr>
        <w:t xml:space="preserve">history of the </w:t>
      </w:r>
      <w:r w:rsidR="00117DBA" w:rsidRPr="00B764C3">
        <w:rPr>
          <w:color w:val="000000"/>
        </w:rPr>
        <w:t>ICPC</w:t>
      </w:r>
      <w:r w:rsidRPr="00B764C3">
        <w:rPr>
          <w:color w:val="000000"/>
        </w:rPr>
        <w:t xml:space="preserve">, and </w:t>
      </w:r>
      <w:r w:rsidR="00117DBA" w:rsidRPr="00B764C3">
        <w:rPr>
          <w:color w:val="000000"/>
        </w:rPr>
        <w:t xml:space="preserve">DCF’s </w:t>
      </w:r>
      <w:r w:rsidRPr="00B764C3">
        <w:rPr>
          <w:color w:val="000000"/>
        </w:rPr>
        <w:t xml:space="preserve">regulations to the contrary exceed the scope of </w:t>
      </w:r>
      <w:r w:rsidR="00117DBA" w:rsidRPr="00B764C3">
        <w:rPr>
          <w:color w:val="000000"/>
        </w:rPr>
        <w:t>ICPC legislation</w:t>
      </w:r>
      <w:r w:rsidRPr="00B764C3">
        <w:rPr>
          <w:color w:val="000000"/>
        </w:rPr>
        <w:t xml:space="preserve">.  </w:t>
      </w:r>
      <w:r w:rsidR="001944E3" w:rsidRPr="00B764C3">
        <w:rPr>
          <w:color w:val="000000"/>
        </w:rPr>
        <w:t xml:space="preserve">Applying the ICPC to parents </w:t>
      </w:r>
      <w:r w:rsidR="00AD2074" w:rsidRPr="00B764C3">
        <w:rPr>
          <w:color w:val="000000"/>
        </w:rPr>
        <w:t>also violate</w:t>
      </w:r>
      <w:r w:rsidR="00E12AD8" w:rsidRPr="00B764C3">
        <w:rPr>
          <w:color w:val="000000"/>
        </w:rPr>
        <w:t>s</w:t>
      </w:r>
      <w:r w:rsidRPr="00B764C3">
        <w:rPr>
          <w:color w:val="000000"/>
        </w:rPr>
        <w:t xml:space="preserve"> the</w:t>
      </w:r>
      <w:r w:rsidR="001944E3" w:rsidRPr="00B764C3">
        <w:rPr>
          <w:color w:val="000000"/>
        </w:rPr>
        <w:t>ir</w:t>
      </w:r>
      <w:r w:rsidR="004C5AA8" w:rsidRPr="00B764C3">
        <w:rPr>
          <w:color w:val="000000"/>
        </w:rPr>
        <w:t xml:space="preserve"> right to due process</w:t>
      </w:r>
      <w:r w:rsidR="00303398" w:rsidRPr="00B764C3">
        <w:rPr>
          <w:color w:val="000000"/>
        </w:rPr>
        <w:t xml:space="preserve">, </w:t>
      </w:r>
      <w:r w:rsidR="0096100E">
        <w:rPr>
          <w:color w:val="000000"/>
        </w:rPr>
        <w:t xml:space="preserve">the right </w:t>
      </w:r>
      <w:r w:rsidR="00E12AD8" w:rsidRPr="00B764C3">
        <w:rPr>
          <w:color w:val="000000"/>
        </w:rPr>
        <w:t xml:space="preserve">equal protection, the right to migrate, and </w:t>
      </w:r>
      <w:r w:rsidR="0096100E">
        <w:rPr>
          <w:color w:val="000000"/>
        </w:rPr>
        <w:t xml:space="preserve">their right to </w:t>
      </w:r>
      <w:r w:rsidRPr="00B764C3">
        <w:rPr>
          <w:color w:val="000000"/>
        </w:rPr>
        <w:t>access to the courts.</w:t>
      </w:r>
      <w:r w:rsidR="00520E2D" w:rsidRPr="00B764C3">
        <w:rPr>
          <w:color w:val="000000"/>
        </w:rPr>
        <w:t xml:space="preserve">  In addition, it would violate the separation of powers between the branches of government</w:t>
      </w:r>
      <w:r w:rsidR="00E12AD8" w:rsidRPr="00B764C3">
        <w:rPr>
          <w:color w:val="000000"/>
        </w:rPr>
        <w:t>, encroaching upon judicial authority</w:t>
      </w:r>
      <w:r w:rsidR="00520E2D" w:rsidRPr="00B764C3">
        <w:rPr>
          <w:color w:val="000000"/>
        </w:rPr>
        <w:t>.</w:t>
      </w:r>
    </w:p>
    <w:p w:rsidR="00E863BB" w:rsidRPr="00B764C3" w:rsidRDefault="000947BE" w:rsidP="00716039">
      <w:pPr>
        <w:ind w:left="720" w:hanging="720"/>
        <w:rPr>
          <w:b/>
          <w:color w:val="000000"/>
          <w:u w:val="single"/>
        </w:rPr>
      </w:pPr>
      <w:r w:rsidRPr="00B764C3">
        <w:rPr>
          <w:b/>
          <w:color w:val="000000"/>
        </w:rPr>
        <w:t xml:space="preserve">1. </w:t>
      </w:r>
      <w:r w:rsidR="001D1E9B">
        <w:rPr>
          <w:b/>
          <w:color w:val="000000"/>
        </w:rPr>
        <w:tab/>
      </w:r>
      <w:r w:rsidR="008E7C16" w:rsidRPr="00B764C3">
        <w:rPr>
          <w:b/>
          <w:color w:val="000000"/>
          <w:u w:val="single"/>
        </w:rPr>
        <w:t>Custody to</w:t>
      </w:r>
      <w:r w:rsidRPr="00B764C3">
        <w:rPr>
          <w:b/>
          <w:color w:val="000000"/>
          <w:u w:val="single"/>
        </w:rPr>
        <w:t xml:space="preserve"> </w:t>
      </w:r>
      <w:r w:rsidR="0096662F" w:rsidRPr="00B764C3">
        <w:rPr>
          <w:b/>
          <w:color w:val="000000"/>
          <w:u w:val="single"/>
        </w:rPr>
        <w:t>Father</w:t>
      </w:r>
      <w:r w:rsidRPr="00B764C3">
        <w:rPr>
          <w:b/>
          <w:color w:val="000000"/>
          <w:u w:val="single"/>
        </w:rPr>
        <w:t xml:space="preserve"> is </w:t>
      </w:r>
      <w:r w:rsidR="00C829CD" w:rsidRPr="00B764C3">
        <w:rPr>
          <w:b/>
          <w:color w:val="000000"/>
          <w:u w:val="single"/>
        </w:rPr>
        <w:t xml:space="preserve">not </w:t>
      </w:r>
      <w:r w:rsidR="008F512B" w:rsidRPr="00B764C3">
        <w:rPr>
          <w:b/>
          <w:color w:val="000000"/>
          <w:u w:val="single"/>
        </w:rPr>
        <w:t xml:space="preserve">a “placement” </w:t>
      </w:r>
      <w:r w:rsidR="00E863BB" w:rsidRPr="00B764C3">
        <w:rPr>
          <w:b/>
          <w:color w:val="000000"/>
          <w:u w:val="single"/>
        </w:rPr>
        <w:t xml:space="preserve">within the </w:t>
      </w:r>
      <w:r w:rsidR="001D1E9B">
        <w:rPr>
          <w:b/>
          <w:color w:val="000000"/>
          <w:u w:val="single"/>
        </w:rPr>
        <w:t xml:space="preserve">plain language of the </w:t>
      </w:r>
      <w:r w:rsidRPr="00B764C3">
        <w:rPr>
          <w:b/>
          <w:color w:val="000000"/>
          <w:u w:val="single"/>
        </w:rPr>
        <w:t>ICPC</w:t>
      </w:r>
      <w:r w:rsidR="00FC6F7B" w:rsidRPr="00B764C3">
        <w:rPr>
          <w:b/>
          <w:color w:val="000000"/>
          <w:u w:val="single"/>
        </w:rPr>
        <w:t xml:space="preserve"> statute</w:t>
      </w:r>
      <w:r w:rsidRPr="00B764C3">
        <w:rPr>
          <w:b/>
          <w:color w:val="000000"/>
          <w:u w:val="single"/>
        </w:rPr>
        <w:t>.</w:t>
      </w:r>
    </w:p>
    <w:p w:rsidR="001D1E9B" w:rsidRDefault="001D1E9B" w:rsidP="00716039">
      <w:pPr>
        <w:ind w:firstLine="720"/>
        <w:rPr>
          <w:color w:val="000000"/>
        </w:rPr>
      </w:pPr>
    </w:p>
    <w:p w:rsidR="00FC6F7B" w:rsidRPr="00B764C3" w:rsidRDefault="00E863BB" w:rsidP="0039119E">
      <w:pPr>
        <w:spacing w:line="480" w:lineRule="auto"/>
        <w:ind w:firstLine="720"/>
        <w:rPr>
          <w:color w:val="000000"/>
        </w:rPr>
      </w:pPr>
      <w:r w:rsidRPr="00B764C3">
        <w:rPr>
          <w:color w:val="000000"/>
        </w:rPr>
        <w:t>Article III(a) of the Compact</w:t>
      </w:r>
      <w:r w:rsidR="0009091F" w:rsidRPr="00B764C3">
        <w:rPr>
          <w:color w:val="000000"/>
        </w:rPr>
        <w:t>, en</w:t>
      </w:r>
      <w:r w:rsidR="00AC685D" w:rsidRPr="00B764C3">
        <w:rPr>
          <w:color w:val="000000"/>
        </w:rPr>
        <w:t xml:space="preserve">acted as </w:t>
      </w:r>
      <w:r w:rsidR="0096100E">
        <w:rPr>
          <w:color w:val="000000"/>
        </w:rPr>
        <w:t xml:space="preserve">G.L. c. </w:t>
      </w:r>
      <w:r w:rsidR="00AC685D" w:rsidRPr="00B764C3">
        <w:rPr>
          <w:color w:val="000000"/>
        </w:rPr>
        <w:t>119</w:t>
      </w:r>
      <w:r w:rsidR="001725C7" w:rsidRPr="00B764C3">
        <w:rPr>
          <w:color w:val="000000"/>
        </w:rPr>
        <w:t xml:space="preserve"> App.</w:t>
      </w:r>
      <w:r w:rsidR="0009091F" w:rsidRPr="00B764C3">
        <w:rPr>
          <w:color w:val="000000"/>
        </w:rPr>
        <w:t xml:space="preserve"> </w:t>
      </w:r>
      <w:r w:rsidR="005137F1" w:rsidRPr="00B764C3">
        <w:rPr>
          <w:color w:val="000000"/>
        </w:rPr>
        <w:t>§ 2-1</w:t>
      </w:r>
      <w:r w:rsidR="001725C7" w:rsidRPr="00B764C3">
        <w:rPr>
          <w:color w:val="000000"/>
        </w:rPr>
        <w:t>, Art. II</w:t>
      </w:r>
      <w:r w:rsidR="00FC6F7B" w:rsidRPr="00B764C3">
        <w:rPr>
          <w:color w:val="000000"/>
        </w:rPr>
        <w:t>I</w:t>
      </w:r>
      <w:r w:rsidR="007B6577" w:rsidRPr="00B764C3">
        <w:rPr>
          <w:color w:val="000000"/>
        </w:rPr>
        <w:t>(a)</w:t>
      </w:r>
      <w:r w:rsidR="0009091F" w:rsidRPr="00B764C3">
        <w:rPr>
          <w:color w:val="000000"/>
        </w:rPr>
        <w:t>,</w:t>
      </w:r>
      <w:r w:rsidRPr="00B764C3">
        <w:rPr>
          <w:color w:val="000000"/>
        </w:rPr>
        <w:t xml:space="preserve"> limits application</w:t>
      </w:r>
      <w:r w:rsidR="00FC6F7B" w:rsidRPr="00B764C3">
        <w:rPr>
          <w:color w:val="000000"/>
        </w:rPr>
        <w:t xml:space="preserve"> of the Compact</w:t>
      </w:r>
      <w:r w:rsidRPr="00B764C3">
        <w:rPr>
          <w:color w:val="000000"/>
        </w:rPr>
        <w:t xml:space="preserve"> to “placement in foster care or a</w:t>
      </w:r>
      <w:r w:rsidR="008E7C16" w:rsidRPr="00B764C3">
        <w:rPr>
          <w:color w:val="000000"/>
        </w:rPr>
        <w:t>s a preliminary to an adoption.”</w:t>
      </w:r>
      <w:r w:rsidR="002F5729" w:rsidRPr="00B764C3">
        <w:rPr>
          <w:color w:val="000000"/>
        </w:rPr>
        <w:t xml:space="preserve">  </w:t>
      </w:r>
      <w:r w:rsidR="0087433F" w:rsidRPr="00B764C3">
        <w:rPr>
          <w:color w:val="000000"/>
        </w:rPr>
        <w:t xml:space="preserve">A grant of custody to a child’s parent </w:t>
      </w:r>
      <w:r w:rsidRPr="00B764C3">
        <w:rPr>
          <w:color w:val="000000"/>
        </w:rPr>
        <w:t xml:space="preserve">is </w:t>
      </w:r>
      <w:r w:rsidR="002F5729" w:rsidRPr="00B764C3">
        <w:rPr>
          <w:color w:val="000000"/>
        </w:rPr>
        <w:t>neither of those things</w:t>
      </w:r>
      <w:r w:rsidRPr="00B764C3">
        <w:rPr>
          <w:color w:val="000000"/>
        </w:rPr>
        <w:t>.</w:t>
      </w:r>
      <w:r w:rsidR="00CA34AC" w:rsidRPr="00B764C3">
        <w:rPr>
          <w:color w:val="000000"/>
        </w:rPr>
        <w:t xml:space="preserve">  This in itself ought to be dispositive.</w:t>
      </w:r>
      <w:r w:rsidR="00947DBA" w:rsidRPr="00B764C3">
        <w:rPr>
          <w:color w:val="000000"/>
        </w:rPr>
        <w:t xml:space="preserve">  </w:t>
      </w:r>
      <w:r w:rsidR="00947DBA" w:rsidRPr="00B764C3">
        <w:rPr>
          <w:i/>
          <w:color w:val="000000"/>
        </w:rPr>
        <w:t>See</w:t>
      </w:r>
      <w:r w:rsidR="00947DBA" w:rsidRPr="00B764C3">
        <w:rPr>
          <w:color w:val="000000"/>
        </w:rPr>
        <w:t xml:space="preserve"> </w:t>
      </w:r>
      <w:proofErr w:type="spellStart"/>
      <w:r w:rsidR="00947DBA" w:rsidRPr="00B764C3">
        <w:rPr>
          <w:i/>
          <w:color w:val="000000"/>
        </w:rPr>
        <w:t>McComb</w:t>
      </w:r>
      <w:proofErr w:type="spellEnd"/>
      <w:r w:rsidR="00947DBA" w:rsidRPr="00B764C3">
        <w:rPr>
          <w:i/>
          <w:color w:val="000000"/>
        </w:rPr>
        <w:t xml:space="preserve"> v. </w:t>
      </w:r>
      <w:proofErr w:type="spellStart"/>
      <w:r w:rsidR="00947DBA" w:rsidRPr="00B764C3">
        <w:rPr>
          <w:i/>
          <w:color w:val="000000"/>
        </w:rPr>
        <w:t>Wambaugh</w:t>
      </w:r>
      <w:proofErr w:type="spellEnd"/>
      <w:r w:rsidR="00947DBA" w:rsidRPr="00B764C3">
        <w:rPr>
          <w:color w:val="000000"/>
        </w:rPr>
        <w:t>, 9</w:t>
      </w:r>
      <w:r w:rsidR="00B31EE8" w:rsidRPr="00B764C3">
        <w:rPr>
          <w:color w:val="000000"/>
        </w:rPr>
        <w:t>34 F.2d 474, 480</w:t>
      </w:r>
      <w:r w:rsidR="00FC6F7B" w:rsidRPr="00B764C3">
        <w:rPr>
          <w:color w:val="000000"/>
        </w:rPr>
        <w:t xml:space="preserve"> (3d Cir. 1991)</w:t>
      </w:r>
      <w:r w:rsidR="00B31EE8" w:rsidRPr="00B764C3">
        <w:rPr>
          <w:color w:val="000000"/>
        </w:rPr>
        <w:t xml:space="preserve"> (</w:t>
      </w:r>
      <w:r w:rsidR="00BC0357" w:rsidRPr="00B764C3">
        <w:rPr>
          <w:color w:val="000000"/>
        </w:rPr>
        <w:t xml:space="preserve">finding the ICPC inapplicable to parents and noting that </w:t>
      </w:r>
      <w:r w:rsidR="004C5AA8" w:rsidRPr="00B764C3">
        <w:rPr>
          <w:color w:val="000000"/>
        </w:rPr>
        <w:t>“[t]</w:t>
      </w:r>
      <w:r w:rsidR="00B31EE8" w:rsidRPr="00B764C3">
        <w:rPr>
          <w:color w:val="000000"/>
        </w:rPr>
        <w:t>he most significant and, to our minds, determinative language is found in Article III(a)[.]”)</w:t>
      </w:r>
      <w:r w:rsidR="00FC6F7B" w:rsidRPr="00B764C3">
        <w:rPr>
          <w:color w:val="000000"/>
        </w:rPr>
        <w:t>;</w:t>
      </w:r>
      <w:r w:rsidR="007E6879" w:rsidRPr="00B764C3">
        <w:rPr>
          <w:color w:val="000000"/>
        </w:rPr>
        <w:t xml:space="preserve"> </w:t>
      </w:r>
      <w:r w:rsidR="00FC6F7B" w:rsidRPr="00B764C3">
        <w:rPr>
          <w:i/>
          <w:color w:val="000000"/>
        </w:rPr>
        <w:t>s</w:t>
      </w:r>
      <w:r w:rsidR="007E6879" w:rsidRPr="00B764C3">
        <w:rPr>
          <w:i/>
          <w:color w:val="000000"/>
        </w:rPr>
        <w:t xml:space="preserve">ee also </w:t>
      </w:r>
      <w:proofErr w:type="gramStart"/>
      <w:r w:rsidR="007E6879" w:rsidRPr="00B764C3">
        <w:rPr>
          <w:i/>
          <w:color w:val="000000"/>
        </w:rPr>
        <w:t>In</w:t>
      </w:r>
      <w:proofErr w:type="gramEnd"/>
      <w:r w:rsidR="007E6879" w:rsidRPr="00B764C3">
        <w:rPr>
          <w:i/>
          <w:color w:val="000000"/>
        </w:rPr>
        <w:t xml:space="preserve"> re Dependency of D.F.-M.</w:t>
      </w:r>
      <w:r w:rsidR="007E6879" w:rsidRPr="00B764C3">
        <w:rPr>
          <w:color w:val="000000"/>
        </w:rPr>
        <w:t>, 236 P.3d 961, 965 (Wash. Ct. App. 2010)</w:t>
      </w:r>
      <w:r w:rsidR="00C422BC" w:rsidRPr="00B764C3">
        <w:rPr>
          <w:color w:val="000000"/>
        </w:rPr>
        <w:t xml:space="preserve"> (“The plain, ordinary meaning of the term [‘foster care’] is the placement of a child in a substitute home, one other than that of the child’s parents.”)</w:t>
      </w:r>
      <w:r w:rsidR="00AA5970" w:rsidRPr="00B764C3">
        <w:rPr>
          <w:color w:val="000000"/>
        </w:rPr>
        <w:t xml:space="preserve">.  </w:t>
      </w:r>
    </w:p>
    <w:p w:rsidR="00A33861" w:rsidRPr="00B764C3" w:rsidRDefault="00A33861" w:rsidP="00A33861">
      <w:pPr>
        <w:spacing w:line="480" w:lineRule="auto"/>
        <w:ind w:firstLine="720"/>
        <w:rPr>
          <w:color w:val="000000"/>
        </w:rPr>
      </w:pPr>
      <w:r w:rsidRPr="00B764C3">
        <w:rPr>
          <w:color w:val="000000"/>
        </w:rPr>
        <w:t>The Supreme Court of New Hampshire found the language of the statute to be “unambiguous”</w:t>
      </w:r>
      <w:r w:rsidR="007E68C2">
        <w:rPr>
          <w:color w:val="000000"/>
        </w:rPr>
        <w:t xml:space="preserve"> in that it does not apply to parents. </w:t>
      </w:r>
      <w:r w:rsidRPr="00B764C3">
        <w:rPr>
          <w:color w:val="000000"/>
        </w:rPr>
        <w:t xml:space="preserve"> </w:t>
      </w:r>
      <w:r w:rsidRPr="00B764C3">
        <w:rPr>
          <w:i/>
          <w:color w:val="000000"/>
        </w:rPr>
        <w:t>In re Alexis O.</w:t>
      </w:r>
      <w:r w:rsidRPr="00B764C3">
        <w:rPr>
          <w:color w:val="000000"/>
        </w:rPr>
        <w:t xml:space="preserve">, 959 A.2d 176, 183 (N.H. 2008).  After considering the Compact as a whole, it agreed with the Third Circuit in </w:t>
      </w:r>
      <w:proofErr w:type="spellStart"/>
      <w:r w:rsidRPr="00B764C3">
        <w:rPr>
          <w:i/>
          <w:color w:val="000000"/>
        </w:rPr>
        <w:t>McComb</w:t>
      </w:r>
      <w:proofErr w:type="spellEnd"/>
      <w:r w:rsidRPr="00B764C3">
        <w:rPr>
          <w:color w:val="000000"/>
        </w:rPr>
        <w:t xml:space="preserve"> that Article III(a) is determinative</w:t>
      </w:r>
      <w:r w:rsidR="007E68C2">
        <w:rPr>
          <w:color w:val="000000"/>
        </w:rPr>
        <w:t>:</w:t>
      </w:r>
      <w:r w:rsidRPr="00B764C3">
        <w:rPr>
          <w:color w:val="000000"/>
        </w:rPr>
        <w:t xml:space="preserve"> “a placement pertains </w:t>
      </w:r>
      <w:r w:rsidRPr="00B764C3">
        <w:rPr>
          <w:i/>
          <w:color w:val="000000"/>
        </w:rPr>
        <w:t>only</w:t>
      </w:r>
      <w:r w:rsidRPr="00B764C3">
        <w:rPr>
          <w:color w:val="000000"/>
        </w:rPr>
        <w:t xml:space="preserve"> to substitutes for parental care.  It does not apply to care for a child by his or her natural parent.”  </w:t>
      </w:r>
      <w:r w:rsidRPr="00B764C3">
        <w:rPr>
          <w:i/>
          <w:color w:val="000000"/>
        </w:rPr>
        <w:t>Id</w:t>
      </w:r>
      <w:r w:rsidRPr="00B764C3">
        <w:rPr>
          <w:color w:val="000000"/>
        </w:rPr>
        <w:t xml:space="preserve">. at 182 (emphasis in the original).  </w:t>
      </w:r>
    </w:p>
    <w:p w:rsidR="004C117B" w:rsidRPr="00B764C3" w:rsidRDefault="00A33861" w:rsidP="00042D8B">
      <w:pPr>
        <w:spacing w:line="480" w:lineRule="auto"/>
        <w:ind w:firstLine="720"/>
        <w:rPr>
          <w:color w:val="000000"/>
        </w:rPr>
      </w:pPr>
      <w:r w:rsidRPr="00B764C3">
        <w:rPr>
          <w:color w:val="000000"/>
        </w:rPr>
        <w:t xml:space="preserve">Although the </w:t>
      </w:r>
      <w:r w:rsidR="007E68C2" w:rsidRPr="00716039">
        <w:rPr>
          <w:i/>
          <w:color w:val="000000"/>
        </w:rPr>
        <w:t>Alexis O.</w:t>
      </w:r>
      <w:r w:rsidR="007E68C2">
        <w:rPr>
          <w:color w:val="000000"/>
        </w:rPr>
        <w:t xml:space="preserve"> c</w:t>
      </w:r>
      <w:r w:rsidRPr="00B764C3">
        <w:rPr>
          <w:color w:val="000000"/>
        </w:rPr>
        <w:t xml:space="preserve">ourt found the plain meaning of the statute sufficient to establish its inapplicability to parents, it found that the legislative history further supported its interpretation.  The </w:t>
      </w:r>
      <w:r w:rsidR="007E68C2">
        <w:rPr>
          <w:color w:val="000000"/>
        </w:rPr>
        <w:t>c</w:t>
      </w:r>
      <w:r w:rsidRPr="00B764C3">
        <w:rPr>
          <w:color w:val="000000"/>
        </w:rPr>
        <w:t>ourt pointed to the detailed draftsmen’s notes, which explain that the ICPC “exempts certain close relatives</w:t>
      </w:r>
      <w:r w:rsidR="007E68C2">
        <w:rPr>
          <w:color w:val="000000"/>
        </w:rPr>
        <w:t xml:space="preserve"> . . . </w:t>
      </w:r>
      <w:r w:rsidRPr="00B764C3">
        <w:rPr>
          <w:color w:val="000000"/>
        </w:rPr>
        <w:t xml:space="preserve"> in order to protect the social and legal rights of the family and because it is recognized that regulation is desirable only in the absence of adequate family control or in order to forestall conditions which might produce an absence of such control.”  </w:t>
      </w:r>
      <w:r w:rsidRPr="00B764C3">
        <w:rPr>
          <w:i/>
          <w:color w:val="000000"/>
        </w:rPr>
        <w:t>Alexis O.</w:t>
      </w:r>
      <w:r w:rsidRPr="00B764C3">
        <w:rPr>
          <w:color w:val="000000"/>
        </w:rPr>
        <w:t>, 959 A.2d at 183 (citing</w:t>
      </w:r>
      <w:r w:rsidRPr="00B764C3">
        <w:rPr>
          <w:rStyle w:val="NormalWeb"/>
          <w:i/>
          <w:iCs/>
          <w:color w:val="000000"/>
        </w:rPr>
        <w:t xml:space="preserve"> </w:t>
      </w:r>
      <w:r w:rsidRPr="00B764C3">
        <w:rPr>
          <w:rStyle w:val="apple-style-span"/>
          <w:i/>
          <w:iCs/>
          <w:color w:val="000000"/>
        </w:rPr>
        <w:t>Draftsman's Notes on Interstate Compact on the Placement of Children, reprinted in</w:t>
      </w:r>
      <w:r w:rsidRPr="00B764C3">
        <w:rPr>
          <w:rStyle w:val="apple-converted-space"/>
          <w:color w:val="000000"/>
        </w:rPr>
        <w:t> </w:t>
      </w:r>
      <w:r w:rsidRPr="00B764C3">
        <w:rPr>
          <w:rStyle w:val="apple-style-span"/>
          <w:color w:val="000000"/>
        </w:rPr>
        <w:t>R. Hunt,</w:t>
      </w:r>
      <w:r w:rsidRPr="00B764C3">
        <w:rPr>
          <w:rStyle w:val="apple-converted-space"/>
          <w:color w:val="000000"/>
        </w:rPr>
        <w:t> </w:t>
      </w:r>
      <w:r w:rsidRPr="00B764C3">
        <w:rPr>
          <w:rStyle w:val="apple-style-span"/>
          <w:i/>
          <w:iCs/>
          <w:color w:val="000000"/>
        </w:rPr>
        <w:t>Obstacles to Interstate Adoption</w:t>
      </w:r>
      <w:r w:rsidRPr="00B764C3">
        <w:rPr>
          <w:rStyle w:val="apple-converted-space"/>
          <w:color w:val="000000"/>
        </w:rPr>
        <w:t> </w:t>
      </w:r>
      <w:r w:rsidRPr="00B764C3">
        <w:rPr>
          <w:rStyle w:val="apple-style-span"/>
          <w:color w:val="000000"/>
        </w:rPr>
        <w:t>44 (1972))</w:t>
      </w:r>
      <w:r w:rsidRPr="00B764C3">
        <w:rPr>
          <w:color w:val="000000"/>
        </w:rPr>
        <w:t xml:space="preserve">.  Given the drafters’ concern for </w:t>
      </w:r>
      <w:r w:rsidRPr="00042D8B">
        <w:rPr>
          <w:color w:val="000000"/>
        </w:rPr>
        <w:t>protecting the natural rights of famil</w:t>
      </w:r>
      <w:r w:rsidRPr="00716039">
        <w:rPr>
          <w:color w:val="000000"/>
        </w:rPr>
        <w:t xml:space="preserve">ies, the </w:t>
      </w:r>
      <w:r w:rsidR="007E68C2" w:rsidRPr="00716039">
        <w:rPr>
          <w:color w:val="000000"/>
        </w:rPr>
        <w:t>c</w:t>
      </w:r>
      <w:r w:rsidRPr="00716039">
        <w:rPr>
          <w:color w:val="000000"/>
        </w:rPr>
        <w:t xml:space="preserve">ourt found that the history of the ICPC “confirms that its drafters intended it to apply only to the placement of a child for foster care or as a preliminary to adoption.  The drafters did not intend for it to apply to natural parents.”  </w:t>
      </w:r>
      <w:r w:rsidRPr="00716039">
        <w:rPr>
          <w:i/>
          <w:color w:val="000000"/>
        </w:rPr>
        <w:t>Id</w:t>
      </w:r>
      <w:r w:rsidR="007E68C2" w:rsidRPr="00716039">
        <w:rPr>
          <w:color w:val="000000"/>
        </w:rPr>
        <w:t xml:space="preserve">.; </w:t>
      </w:r>
      <w:r w:rsidR="007E68C2" w:rsidRPr="00716039">
        <w:rPr>
          <w:i/>
          <w:color w:val="000000"/>
        </w:rPr>
        <w:t>see</w:t>
      </w:r>
      <w:r w:rsidR="007E68C2" w:rsidRPr="00042D8B">
        <w:rPr>
          <w:color w:val="000000"/>
        </w:rPr>
        <w:t xml:space="preserve"> </w:t>
      </w:r>
      <w:r w:rsidR="007E68C2" w:rsidRPr="00716039">
        <w:rPr>
          <w:i/>
          <w:color w:val="000000"/>
        </w:rPr>
        <w:t>also</w:t>
      </w:r>
      <w:r w:rsidR="007E68C2" w:rsidRPr="00042D8B">
        <w:rPr>
          <w:color w:val="000000"/>
        </w:rPr>
        <w:t xml:space="preserve"> </w:t>
      </w:r>
      <w:proofErr w:type="gramStart"/>
      <w:r w:rsidR="007E68C2" w:rsidRPr="00716039">
        <w:rPr>
          <w:i/>
          <w:color w:val="000000"/>
        </w:rPr>
        <w:t>In</w:t>
      </w:r>
      <w:proofErr w:type="gramEnd"/>
      <w:r w:rsidR="007E68C2" w:rsidRPr="00716039">
        <w:rPr>
          <w:i/>
          <w:color w:val="000000"/>
        </w:rPr>
        <w:t xml:space="preserve"> re </w:t>
      </w:r>
      <w:proofErr w:type="spellStart"/>
      <w:r w:rsidR="007E68C2" w:rsidRPr="00716039">
        <w:rPr>
          <w:i/>
          <w:color w:val="000000"/>
        </w:rPr>
        <w:t>Emoni</w:t>
      </w:r>
      <w:proofErr w:type="spellEnd"/>
      <w:r w:rsidR="007E68C2" w:rsidRPr="00716039">
        <w:rPr>
          <w:i/>
          <w:color w:val="000000"/>
        </w:rPr>
        <w:t xml:space="preserve"> W.</w:t>
      </w:r>
      <w:r w:rsidR="007E68C2" w:rsidRPr="00042D8B">
        <w:rPr>
          <w:color w:val="000000"/>
        </w:rPr>
        <w:t>, 305 Conn. 723, 48 A.3d 1, 6 (2012)</w:t>
      </w:r>
      <w:r w:rsidR="007E68C2" w:rsidRPr="00716039">
        <w:rPr>
          <w:color w:val="212121"/>
        </w:rPr>
        <w:t> (ICPC does not apply to out-of-state non-custodial parent)</w:t>
      </w:r>
      <w:r w:rsidR="00056246">
        <w:rPr>
          <w:color w:val="212121"/>
        </w:rPr>
        <w:t xml:space="preserve">; </w:t>
      </w:r>
      <w:r w:rsidR="00056246" w:rsidRPr="00716039">
        <w:rPr>
          <w:i/>
          <w:color w:val="212121"/>
        </w:rPr>
        <w:t>Donald W. v. Dep’t of Child Safety</w:t>
      </w:r>
      <w:r w:rsidR="00056246">
        <w:rPr>
          <w:color w:val="212121"/>
        </w:rPr>
        <w:t>, 247 Ariz. 9, 444 P.3d 258, 269 (2019) (ICPC has no application to out-of-state parent unless child found dependent as to that parent)</w:t>
      </w:r>
      <w:r w:rsidR="007E68C2" w:rsidRPr="00716039">
        <w:rPr>
          <w:color w:val="212121"/>
        </w:rPr>
        <w:t>.</w:t>
      </w:r>
    </w:p>
    <w:p w:rsidR="00EF5E6C" w:rsidRPr="00B764C3" w:rsidRDefault="00EF5E6C" w:rsidP="00967800">
      <w:pPr>
        <w:spacing w:line="480" w:lineRule="auto"/>
        <w:ind w:firstLine="720"/>
        <w:rPr>
          <w:color w:val="000000"/>
        </w:rPr>
      </w:pPr>
      <w:r w:rsidRPr="00B764C3">
        <w:rPr>
          <w:color w:val="000000"/>
        </w:rPr>
        <w:t xml:space="preserve">This case is not governed by </w:t>
      </w:r>
      <w:r w:rsidRPr="00716039">
        <w:rPr>
          <w:i/>
          <w:color w:val="000000"/>
        </w:rPr>
        <w:t>Adoption of Warren</w:t>
      </w:r>
      <w:r w:rsidRPr="00B764C3">
        <w:rPr>
          <w:color w:val="000000"/>
        </w:rPr>
        <w:t>, 44 Mass. App. Ct. 620 (1998)</w:t>
      </w:r>
      <w:r w:rsidR="002B15BE">
        <w:rPr>
          <w:color w:val="000000"/>
        </w:rPr>
        <w:t xml:space="preserve">, or </w:t>
      </w:r>
      <w:r w:rsidR="002B15BE" w:rsidRPr="00716039">
        <w:rPr>
          <w:i/>
          <w:color w:val="000000"/>
        </w:rPr>
        <w:t>Custody of Quincy</w:t>
      </w:r>
      <w:r w:rsidR="002B15BE">
        <w:rPr>
          <w:color w:val="000000"/>
        </w:rPr>
        <w:t>, 29 Mass. App. Ct. 981 (1990).</w:t>
      </w:r>
      <w:r w:rsidRPr="00B764C3">
        <w:rPr>
          <w:color w:val="000000"/>
        </w:rPr>
        <w:t xml:space="preserve">  In </w:t>
      </w:r>
      <w:r w:rsidRPr="00716039">
        <w:rPr>
          <w:i/>
          <w:color w:val="000000"/>
        </w:rPr>
        <w:t>Warren</w:t>
      </w:r>
      <w:r w:rsidRPr="00B764C3">
        <w:rPr>
          <w:color w:val="000000"/>
        </w:rPr>
        <w:t xml:space="preserve">, the issue was whether the ICPC applied when the agency </w:t>
      </w:r>
      <w:r w:rsidRPr="00B764C3">
        <w:rPr>
          <w:i/>
          <w:color w:val="000000"/>
        </w:rPr>
        <w:t>placed</w:t>
      </w:r>
      <w:r w:rsidRPr="00B764C3">
        <w:rPr>
          <w:color w:val="000000"/>
        </w:rPr>
        <w:t xml:space="preserve"> a child with an out-of-state father.  </w:t>
      </w:r>
      <w:r w:rsidR="001D1E9B">
        <w:rPr>
          <w:color w:val="000000"/>
        </w:rPr>
        <w:t xml:space="preserve">(That is, the child remained in agency custody while living with the father.)  </w:t>
      </w:r>
      <w:r w:rsidR="00B42AF2" w:rsidRPr="00B764C3">
        <w:rPr>
          <w:color w:val="000000"/>
        </w:rPr>
        <w:t xml:space="preserve">A </w:t>
      </w:r>
      <w:r w:rsidR="00B42AF2" w:rsidRPr="00716039">
        <w:rPr>
          <w:i/>
          <w:color w:val="000000"/>
        </w:rPr>
        <w:t>placement</w:t>
      </w:r>
      <w:r w:rsidR="00B42AF2" w:rsidRPr="00B764C3">
        <w:rPr>
          <w:color w:val="000000"/>
        </w:rPr>
        <w:t xml:space="preserve"> with </w:t>
      </w:r>
      <w:r w:rsidR="00B42AF2">
        <w:rPr>
          <w:color w:val="000000"/>
        </w:rPr>
        <w:t xml:space="preserve">an out-of-state parent, in which the child remains in state custody, may </w:t>
      </w:r>
      <w:r w:rsidR="00B42AF2" w:rsidRPr="00B764C3">
        <w:rPr>
          <w:color w:val="000000"/>
        </w:rPr>
        <w:t xml:space="preserve">constitute a “foster placement” </w:t>
      </w:r>
      <w:r w:rsidR="00B42AF2">
        <w:rPr>
          <w:color w:val="000000"/>
        </w:rPr>
        <w:t>under the ICPC</w:t>
      </w:r>
      <w:r w:rsidR="00B42AF2" w:rsidRPr="00B764C3">
        <w:rPr>
          <w:color w:val="000000"/>
        </w:rPr>
        <w:t xml:space="preserve">. </w:t>
      </w:r>
      <w:r w:rsidR="00B42AF2">
        <w:rPr>
          <w:color w:val="000000"/>
        </w:rPr>
        <w:t xml:space="preserve"> But Father, here, is not asking for placement.  In </w:t>
      </w:r>
      <w:r w:rsidR="00B42AF2" w:rsidRPr="00583FE3">
        <w:rPr>
          <w:i/>
          <w:color w:val="000000"/>
        </w:rPr>
        <w:t>Quincy</w:t>
      </w:r>
      <w:r w:rsidR="00B42AF2">
        <w:rPr>
          <w:color w:val="000000"/>
        </w:rPr>
        <w:t>, the court gave custody to a father in New Hampshire, but the father and the Massachusetts Department of Social Services (DCF’s predecessor agency) wanted Massachusetts to pay for services for the child in New Hampshire once the case was dismissed.  There is no cross-border services payment at issue here; Father is not asking Massachusetts to pay for any services for the Child, so the ICPC is not implicated.</w:t>
      </w:r>
      <w:r w:rsidR="007E3C5C">
        <w:rPr>
          <w:color w:val="000000"/>
        </w:rPr>
        <w:t xml:space="preserve">  </w:t>
      </w:r>
      <w:r w:rsidR="000D49E3">
        <w:rPr>
          <w:color w:val="000000"/>
        </w:rPr>
        <w:t xml:space="preserve">Moreover, the ICPC discussion in </w:t>
      </w:r>
      <w:r w:rsidR="000D49E3" w:rsidRPr="00716039">
        <w:rPr>
          <w:i/>
          <w:color w:val="000000"/>
        </w:rPr>
        <w:t>Quincy</w:t>
      </w:r>
      <w:r w:rsidR="000D49E3">
        <w:rPr>
          <w:color w:val="000000"/>
        </w:rPr>
        <w:t xml:space="preserve"> is dicta (the case was dismissed as moot)</w:t>
      </w:r>
      <w:r w:rsidR="007E3C5C">
        <w:rPr>
          <w:color w:val="000000"/>
        </w:rPr>
        <w:t xml:space="preserve">, all parties assumed on appeal that the ICPC applied, and the issue was never even mentioned before the trial court, </w:t>
      </w:r>
      <w:r w:rsidR="007E3C5C" w:rsidRPr="00716039">
        <w:rPr>
          <w:i/>
          <w:color w:val="000000"/>
        </w:rPr>
        <w:t>see</w:t>
      </w:r>
      <w:r w:rsidR="007E3C5C">
        <w:rPr>
          <w:color w:val="000000"/>
        </w:rPr>
        <w:t xml:space="preserve"> 29 Mass. App. Ct. at 981, so the issue was never </w:t>
      </w:r>
      <w:r w:rsidR="000D49E3">
        <w:rPr>
          <w:color w:val="000000"/>
        </w:rPr>
        <w:t xml:space="preserve">actually </w:t>
      </w:r>
      <w:r w:rsidR="007E3C5C">
        <w:rPr>
          <w:color w:val="000000"/>
        </w:rPr>
        <w:t>litigated</w:t>
      </w:r>
      <w:r w:rsidR="000D49E3">
        <w:rPr>
          <w:color w:val="000000"/>
        </w:rPr>
        <w:t xml:space="preserve"> before an appellate court</w:t>
      </w:r>
      <w:r w:rsidR="007E3C5C">
        <w:rPr>
          <w:color w:val="000000"/>
        </w:rPr>
        <w:t>.  This issue is, therefore, once of first impression in Massachusetts.</w:t>
      </w:r>
    </w:p>
    <w:p w:rsidR="00BE4AE3" w:rsidRPr="00B764C3" w:rsidRDefault="00BE4AE3" w:rsidP="00716039">
      <w:pPr>
        <w:ind w:left="720" w:hanging="720"/>
        <w:rPr>
          <w:b/>
          <w:color w:val="000000"/>
          <w:u w:val="single"/>
        </w:rPr>
      </w:pPr>
      <w:r w:rsidRPr="00B764C3">
        <w:rPr>
          <w:b/>
          <w:color w:val="000000"/>
        </w:rPr>
        <w:t xml:space="preserve">2. </w:t>
      </w:r>
      <w:r w:rsidR="001D1E9B">
        <w:rPr>
          <w:b/>
          <w:color w:val="000000"/>
        </w:rPr>
        <w:tab/>
      </w:r>
      <w:r w:rsidRPr="00B764C3">
        <w:rPr>
          <w:rStyle w:val="apple-style-span"/>
          <w:b/>
          <w:color w:val="000000"/>
          <w:u w:val="single"/>
        </w:rPr>
        <w:t xml:space="preserve">Regulations purporting to extend coverage of the ICPC to placements with parents are invalid for exceeding the </w:t>
      </w:r>
      <w:r w:rsidR="001D1E9B">
        <w:rPr>
          <w:rStyle w:val="apple-style-span"/>
          <w:b/>
          <w:color w:val="000000"/>
          <w:u w:val="single"/>
        </w:rPr>
        <w:t xml:space="preserve">scope of the </w:t>
      </w:r>
      <w:r w:rsidRPr="00B764C3">
        <w:rPr>
          <w:rStyle w:val="apple-style-span"/>
          <w:b/>
          <w:color w:val="000000"/>
          <w:u w:val="single"/>
        </w:rPr>
        <w:t>statute.</w:t>
      </w:r>
    </w:p>
    <w:p w:rsidR="001D1E9B" w:rsidRDefault="001D1E9B" w:rsidP="00716039">
      <w:pPr>
        <w:ind w:firstLine="720"/>
        <w:rPr>
          <w:color w:val="000000"/>
        </w:rPr>
      </w:pPr>
    </w:p>
    <w:p w:rsidR="001D1E9B" w:rsidRDefault="001D1E9B" w:rsidP="0039119E">
      <w:pPr>
        <w:spacing w:line="480" w:lineRule="auto"/>
        <w:ind w:firstLine="720"/>
        <w:rPr>
          <w:color w:val="000000"/>
        </w:rPr>
      </w:pPr>
      <w:r>
        <w:rPr>
          <w:color w:val="000000"/>
        </w:rPr>
        <w:t xml:space="preserve">DCF may argue that it has regulations that extend the reach of the ICPC statute to parents.  But regulations that exceed the scope of the authorizing statute are invalid.  </w:t>
      </w:r>
      <w:r w:rsidRPr="00716039">
        <w:rPr>
          <w:i/>
          <w:color w:val="000000"/>
        </w:rPr>
        <w:t>See</w:t>
      </w:r>
      <w:r w:rsidR="00883F15" w:rsidRPr="00B764C3">
        <w:rPr>
          <w:color w:val="000000"/>
        </w:rPr>
        <w:t xml:space="preserve"> </w:t>
      </w:r>
      <w:r w:rsidR="00883F15" w:rsidRPr="00B764C3">
        <w:rPr>
          <w:i/>
          <w:color w:val="000000"/>
        </w:rPr>
        <w:t xml:space="preserve">Massachusetts Hosp. </w:t>
      </w:r>
      <w:proofErr w:type="spellStart"/>
      <w:r w:rsidR="00883F15" w:rsidRPr="00B764C3">
        <w:rPr>
          <w:i/>
          <w:color w:val="000000"/>
        </w:rPr>
        <w:t>Ass’n</w:t>
      </w:r>
      <w:proofErr w:type="spellEnd"/>
      <w:r w:rsidR="00883F15" w:rsidRPr="00B764C3">
        <w:rPr>
          <w:i/>
          <w:color w:val="000000"/>
        </w:rPr>
        <w:t>, Inc. v. Dept. of Med. Sec.</w:t>
      </w:r>
      <w:r w:rsidR="00883F15" w:rsidRPr="00B764C3">
        <w:rPr>
          <w:color w:val="000000"/>
        </w:rPr>
        <w:t xml:space="preserve">, </w:t>
      </w:r>
      <w:r w:rsidR="00801EA3" w:rsidRPr="00B764C3">
        <w:rPr>
          <w:color w:val="000000"/>
        </w:rPr>
        <w:t>412 Mass. 340, 342 (</w:t>
      </w:r>
      <w:r w:rsidR="00883F15" w:rsidRPr="00B764C3">
        <w:rPr>
          <w:color w:val="000000"/>
        </w:rPr>
        <w:t>1992) (stating that agencies may not “promulgate rules or regulations that conflict with the statutes or exceed the auth</w:t>
      </w:r>
      <w:r w:rsidR="00801EA3" w:rsidRPr="00B764C3">
        <w:rPr>
          <w:color w:val="000000"/>
        </w:rPr>
        <w:t>ority conferred by the statutes[.]</w:t>
      </w:r>
      <w:r w:rsidR="00883F15" w:rsidRPr="00B764C3">
        <w:rPr>
          <w:color w:val="000000"/>
        </w:rPr>
        <w:t xml:space="preserve">”).  </w:t>
      </w:r>
    </w:p>
    <w:p w:rsidR="00E7406F" w:rsidRPr="00B764C3" w:rsidRDefault="000A7FC4" w:rsidP="0039119E">
      <w:pPr>
        <w:spacing w:line="480" w:lineRule="auto"/>
        <w:ind w:firstLine="720"/>
        <w:rPr>
          <w:color w:val="000000"/>
        </w:rPr>
      </w:pPr>
      <w:r w:rsidRPr="00B764C3">
        <w:rPr>
          <w:color w:val="000000"/>
        </w:rPr>
        <w:t xml:space="preserve">The Compact Administrators, in the introduction to their manual, acknowledge that “[t]he Compact applies to placements preliminary to possible adoptions, placements in foster care where no adoption is contemplated, and institutional placements of adjudicated delinquents needing special services or programs not available within the state.”  1 American Pub. Welfare </w:t>
      </w:r>
      <w:proofErr w:type="spellStart"/>
      <w:r w:rsidRPr="00B764C3">
        <w:rPr>
          <w:color w:val="000000"/>
        </w:rPr>
        <w:t>Ass'n</w:t>
      </w:r>
      <w:proofErr w:type="spellEnd"/>
      <w:r w:rsidRPr="00B764C3">
        <w:rPr>
          <w:color w:val="000000"/>
        </w:rPr>
        <w:t xml:space="preserve">, </w:t>
      </w:r>
      <w:r w:rsidRPr="00B764C3">
        <w:rPr>
          <w:i/>
          <w:iCs/>
          <w:color w:val="000000"/>
        </w:rPr>
        <w:t>Compact Administrators' Manual</w:t>
      </w:r>
      <w:r w:rsidRPr="00B764C3">
        <w:rPr>
          <w:color w:val="000000"/>
        </w:rPr>
        <w:t xml:space="preserve"> at 1.01.  Nonetheless, the Compact Administrators have </w:t>
      </w:r>
      <w:r w:rsidR="00967800" w:rsidRPr="00B764C3">
        <w:rPr>
          <w:color w:val="000000"/>
        </w:rPr>
        <w:t>propos</w:t>
      </w:r>
      <w:r w:rsidR="0009091F" w:rsidRPr="00B764C3">
        <w:rPr>
          <w:color w:val="000000"/>
        </w:rPr>
        <w:t>ed regulations</w:t>
      </w:r>
      <w:r w:rsidR="00967800" w:rsidRPr="00B764C3">
        <w:rPr>
          <w:color w:val="000000"/>
        </w:rPr>
        <w:t xml:space="preserve"> for the implementation of the ICPC</w:t>
      </w:r>
      <w:r w:rsidR="0009091F" w:rsidRPr="00B764C3">
        <w:rPr>
          <w:color w:val="000000"/>
        </w:rPr>
        <w:t xml:space="preserve">, which </w:t>
      </w:r>
      <w:r w:rsidR="00A60E3A" w:rsidRPr="00B764C3">
        <w:rPr>
          <w:color w:val="000000"/>
        </w:rPr>
        <w:t>DCF</w:t>
      </w:r>
      <w:r w:rsidR="0009091F" w:rsidRPr="00B764C3">
        <w:rPr>
          <w:color w:val="000000"/>
        </w:rPr>
        <w:t xml:space="preserve"> </w:t>
      </w:r>
      <w:r w:rsidR="00A60E3A" w:rsidRPr="00B764C3">
        <w:rPr>
          <w:color w:val="000000"/>
        </w:rPr>
        <w:t>promulgated as 110 C.M.R.</w:t>
      </w:r>
      <w:r w:rsidR="0009091F" w:rsidRPr="00B764C3">
        <w:rPr>
          <w:color w:val="000000"/>
        </w:rPr>
        <w:t xml:space="preserve"> </w:t>
      </w:r>
      <w:r w:rsidR="00CD7CEF" w:rsidRPr="00B764C3">
        <w:rPr>
          <w:color w:val="000000"/>
        </w:rPr>
        <w:t>7.500-7.523 (201</w:t>
      </w:r>
      <w:r w:rsidR="001D1E9B">
        <w:rPr>
          <w:color w:val="000000"/>
        </w:rPr>
        <w:t>8, updated 2019</w:t>
      </w:r>
      <w:r w:rsidR="00CD7CEF" w:rsidRPr="00B764C3">
        <w:rPr>
          <w:color w:val="000000"/>
        </w:rPr>
        <w:t>)</w:t>
      </w:r>
      <w:r w:rsidR="0009091F" w:rsidRPr="00B764C3">
        <w:rPr>
          <w:color w:val="000000"/>
        </w:rPr>
        <w:t xml:space="preserve">.  </w:t>
      </w:r>
      <w:r w:rsidR="00A60E3A" w:rsidRPr="00B764C3">
        <w:rPr>
          <w:color w:val="000000"/>
        </w:rPr>
        <w:t>T</w:t>
      </w:r>
      <w:r w:rsidR="00E7406F" w:rsidRPr="00B764C3">
        <w:rPr>
          <w:color w:val="000000"/>
        </w:rPr>
        <w:t>hese</w:t>
      </w:r>
      <w:r w:rsidR="007D43A0" w:rsidRPr="00B764C3">
        <w:rPr>
          <w:color w:val="000000"/>
        </w:rPr>
        <w:t xml:space="preserve"> </w:t>
      </w:r>
      <w:r w:rsidR="0009091F" w:rsidRPr="00B764C3">
        <w:rPr>
          <w:color w:val="000000"/>
        </w:rPr>
        <w:t>regulations purport to e</w:t>
      </w:r>
      <w:r w:rsidR="00D92A54" w:rsidRPr="00B764C3">
        <w:rPr>
          <w:color w:val="000000"/>
        </w:rPr>
        <w:t xml:space="preserve">xtend </w:t>
      </w:r>
      <w:r w:rsidR="00E7406F" w:rsidRPr="00B764C3">
        <w:rPr>
          <w:color w:val="000000"/>
        </w:rPr>
        <w:t xml:space="preserve">the </w:t>
      </w:r>
      <w:r w:rsidR="00D92A54" w:rsidRPr="00B764C3">
        <w:rPr>
          <w:color w:val="000000"/>
        </w:rPr>
        <w:t xml:space="preserve">ICPC to </w:t>
      </w:r>
      <w:r w:rsidR="00E7406F" w:rsidRPr="00B764C3">
        <w:rPr>
          <w:color w:val="000000"/>
        </w:rPr>
        <w:t>placements with</w:t>
      </w:r>
      <w:r w:rsidR="008C6C6C" w:rsidRPr="00B764C3">
        <w:rPr>
          <w:color w:val="000000"/>
        </w:rPr>
        <w:t xml:space="preserve"> </w:t>
      </w:r>
      <w:r w:rsidR="00582C0E" w:rsidRPr="00B764C3">
        <w:rPr>
          <w:color w:val="000000"/>
        </w:rPr>
        <w:t>out-of-state parents</w:t>
      </w:r>
      <w:r w:rsidR="0009091F" w:rsidRPr="00B764C3">
        <w:rPr>
          <w:color w:val="000000"/>
        </w:rPr>
        <w:t>.</w:t>
      </w:r>
      <w:r w:rsidR="00CD7CEF" w:rsidRPr="00B764C3">
        <w:rPr>
          <w:color w:val="000000"/>
        </w:rPr>
        <w:t xml:space="preserve">  </w:t>
      </w:r>
      <w:r w:rsidR="00E7406F" w:rsidRPr="00B764C3">
        <w:rPr>
          <w:color w:val="000000"/>
        </w:rPr>
        <w:t xml:space="preserve">According to </w:t>
      </w:r>
      <w:r w:rsidR="00CD7CEF" w:rsidRPr="00B764C3">
        <w:rPr>
          <w:color w:val="000000"/>
        </w:rPr>
        <w:t xml:space="preserve">110 </w:t>
      </w:r>
      <w:r w:rsidR="00A60E3A" w:rsidRPr="00B764C3">
        <w:rPr>
          <w:color w:val="000000"/>
        </w:rPr>
        <w:t>C.M.R</w:t>
      </w:r>
      <w:r w:rsidR="00CD7CEF" w:rsidRPr="00B764C3">
        <w:rPr>
          <w:color w:val="000000"/>
        </w:rPr>
        <w:t>. 7.507</w:t>
      </w:r>
      <w:r w:rsidR="00056246">
        <w:rPr>
          <w:color w:val="000000"/>
        </w:rPr>
        <w:t>:</w:t>
      </w:r>
      <w:r w:rsidR="00E7406F" w:rsidRPr="00B764C3">
        <w:rPr>
          <w:color w:val="000000"/>
        </w:rPr>
        <w:t xml:space="preserve"> </w:t>
      </w:r>
    </w:p>
    <w:p w:rsidR="00E7406F" w:rsidRPr="00B764C3" w:rsidRDefault="00A60E3A" w:rsidP="00E7406F">
      <w:pPr>
        <w:ind w:left="720" w:right="720"/>
        <w:jc w:val="both"/>
        <w:rPr>
          <w:color w:val="000000"/>
        </w:rPr>
      </w:pPr>
      <w:r w:rsidRPr="00B764C3">
        <w:rPr>
          <w:rStyle w:val="apple-style-span"/>
          <w:color w:val="000000"/>
        </w:rPr>
        <w:t>If a court enters an order which alters custodial rights which had been previously adjudicated in a divorce, separation or other legal proceeding, and such order places a child with a previously non-custodial parent in a state other than the one in which the child currently resides, there is a placement within the meaning of the Compact.</w:t>
      </w:r>
    </w:p>
    <w:p w:rsidR="00E7406F" w:rsidRPr="00B764C3" w:rsidRDefault="00E7406F" w:rsidP="00E7406F">
      <w:pPr>
        <w:ind w:left="540" w:right="720"/>
        <w:jc w:val="both"/>
        <w:rPr>
          <w:color w:val="000000"/>
        </w:rPr>
      </w:pPr>
    </w:p>
    <w:p w:rsidR="00A60E3A" w:rsidRPr="00B764C3" w:rsidRDefault="00883F15" w:rsidP="00E7406F">
      <w:pPr>
        <w:spacing w:line="480" w:lineRule="auto"/>
        <w:rPr>
          <w:color w:val="000000"/>
        </w:rPr>
      </w:pPr>
      <w:r w:rsidRPr="00B764C3">
        <w:rPr>
          <w:color w:val="000000"/>
        </w:rPr>
        <w:t>This</w:t>
      </w:r>
      <w:r w:rsidR="00D92A54" w:rsidRPr="00B764C3">
        <w:rPr>
          <w:color w:val="000000"/>
        </w:rPr>
        <w:t xml:space="preserve"> exceed</w:t>
      </w:r>
      <w:r w:rsidRPr="00B764C3">
        <w:rPr>
          <w:color w:val="000000"/>
        </w:rPr>
        <w:t>s and contravenes</w:t>
      </w:r>
      <w:r w:rsidR="00D92A54" w:rsidRPr="00B764C3">
        <w:rPr>
          <w:color w:val="000000"/>
        </w:rPr>
        <w:t xml:space="preserve"> the </w:t>
      </w:r>
      <w:r w:rsidRPr="00B764C3">
        <w:rPr>
          <w:color w:val="000000"/>
        </w:rPr>
        <w:t>statutory language of the ICPC</w:t>
      </w:r>
      <w:r w:rsidR="0009091F" w:rsidRPr="00B764C3">
        <w:rPr>
          <w:color w:val="000000"/>
        </w:rPr>
        <w:t xml:space="preserve">, </w:t>
      </w:r>
      <w:r w:rsidR="00A60E3A" w:rsidRPr="00B764C3">
        <w:rPr>
          <w:color w:val="000000"/>
        </w:rPr>
        <w:t>becaus</w:t>
      </w:r>
      <w:r w:rsidR="002731A6" w:rsidRPr="00B764C3">
        <w:rPr>
          <w:color w:val="000000"/>
        </w:rPr>
        <w:t xml:space="preserve">e </w:t>
      </w:r>
      <w:r w:rsidR="00E7406F" w:rsidRPr="00B764C3">
        <w:rPr>
          <w:color w:val="000000"/>
        </w:rPr>
        <w:t>a custody order to</w:t>
      </w:r>
      <w:r w:rsidR="002731A6" w:rsidRPr="00B764C3">
        <w:rPr>
          <w:color w:val="000000"/>
        </w:rPr>
        <w:t xml:space="preserve"> a parent is not a placement for </w:t>
      </w:r>
      <w:r w:rsidR="00A60E3A" w:rsidRPr="00B764C3">
        <w:rPr>
          <w:color w:val="000000"/>
        </w:rPr>
        <w:t>“</w:t>
      </w:r>
      <w:r w:rsidR="002731A6" w:rsidRPr="00B764C3">
        <w:rPr>
          <w:color w:val="000000"/>
        </w:rPr>
        <w:t xml:space="preserve">foster care or </w:t>
      </w:r>
      <w:r w:rsidR="00A60E3A" w:rsidRPr="00B764C3">
        <w:rPr>
          <w:color w:val="000000"/>
        </w:rPr>
        <w:t xml:space="preserve">as a </w:t>
      </w:r>
      <w:r w:rsidR="002731A6" w:rsidRPr="00B764C3">
        <w:rPr>
          <w:color w:val="000000"/>
        </w:rPr>
        <w:t>preliminary to adoption</w:t>
      </w:r>
      <w:r w:rsidR="00A60E3A" w:rsidRPr="00B764C3">
        <w:rPr>
          <w:color w:val="000000"/>
        </w:rPr>
        <w:t>”</w:t>
      </w:r>
      <w:r w:rsidR="00056246">
        <w:rPr>
          <w:color w:val="000000"/>
        </w:rPr>
        <w:t xml:space="preserve"> per the statute.</w:t>
      </w:r>
      <w:r w:rsidR="00A60E3A" w:rsidRPr="00B764C3">
        <w:rPr>
          <w:color w:val="000000"/>
        </w:rPr>
        <w:t xml:space="preserve">  </w:t>
      </w:r>
      <w:r w:rsidR="00056246">
        <w:rPr>
          <w:color w:val="000000"/>
        </w:rPr>
        <w:t xml:space="preserve">G.L. c. </w:t>
      </w:r>
      <w:r w:rsidR="00A60E3A" w:rsidRPr="00B764C3">
        <w:rPr>
          <w:color w:val="000000"/>
        </w:rPr>
        <w:t>119 App. § 2-1, Art. III(a).</w:t>
      </w:r>
      <w:r w:rsidR="0052307A" w:rsidRPr="00B764C3">
        <w:rPr>
          <w:color w:val="000000"/>
        </w:rPr>
        <w:t xml:space="preserve">  </w:t>
      </w:r>
      <w:r w:rsidRPr="00B764C3">
        <w:rPr>
          <w:color w:val="000000"/>
        </w:rPr>
        <w:t>Because it exceeds the authority granted by the statute,</w:t>
      </w:r>
      <w:r w:rsidR="002731A6" w:rsidRPr="00B764C3">
        <w:rPr>
          <w:color w:val="000000"/>
        </w:rPr>
        <w:t xml:space="preserve"> th</w:t>
      </w:r>
      <w:r w:rsidR="0052307A" w:rsidRPr="00B764C3">
        <w:rPr>
          <w:color w:val="000000"/>
        </w:rPr>
        <w:t>is regulation is</w:t>
      </w:r>
      <w:r w:rsidR="00582C0E" w:rsidRPr="00B764C3">
        <w:rPr>
          <w:color w:val="000000"/>
        </w:rPr>
        <w:t xml:space="preserve"> invalid</w:t>
      </w:r>
      <w:r w:rsidR="00D92A54" w:rsidRPr="00B764C3">
        <w:rPr>
          <w:color w:val="000000"/>
        </w:rPr>
        <w:t>.</w:t>
      </w:r>
      <w:r w:rsidR="00587B4A" w:rsidRPr="00B764C3">
        <w:rPr>
          <w:color w:val="000000"/>
        </w:rPr>
        <w:t xml:space="preserve">  </w:t>
      </w:r>
    </w:p>
    <w:p w:rsidR="002A4303" w:rsidRDefault="008715FA" w:rsidP="004D5708">
      <w:pPr>
        <w:spacing w:line="480" w:lineRule="auto"/>
        <w:ind w:firstLine="720"/>
        <w:rPr>
          <w:color w:val="000000"/>
        </w:rPr>
      </w:pPr>
      <w:r w:rsidRPr="00042D8B">
        <w:rPr>
          <w:color w:val="000000"/>
        </w:rPr>
        <w:t xml:space="preserve">In addition to </w:t>
      </w:r>
      <w:proofErr w:type="spellStart"/>
      <w:r w:rsidRPr="00716039">
        <w:rPr>
          <w:i/>
          <w:color w:val="000000"/>
        </w:rPr>
        <w:t>Emoni</w:t>
      </w:r>
      <w:proofErr w:type="spellEnd"/>
      <w:r w:rsidRPr="00716039">
        <w:rPr>
          <w:i/>
          <w:color w:val="000000"/>
        </w:rPr>
        <w:t xml:space="preserve"> W.</w:t>
      </w:r>
      <w:r w:rsidRPr="00042D8B">
        <w:rPr>
          <w:i/>
          <w:color w:val="000000"/>
        </w:rPr>
        <w:t xml:space="preserve"> </w:t>
      </w:r>
      <w:r w:rsidRPr="00716039">
        <w:rPr>
          <w:color w:val="000000"/>
        </w:rPr>
        <w:t>(Connecticut</w:t>
      </w:r>
      <w:r w:rsidR="00544E18">
        <w:rPr>
          <w:color w:val="000000"/>
        </w:rPr>
        <w:t xml:space="preserve"> in 2012</w:t>
      </w:r>
      <w:r w:rsidRPr="00716039">
        <w:rPr>
          <w:color w:val="000000"/>
        </w:rPr>
        <w:t>)</w:t>
      </w:r>
      <w:r w:rsidRPr="00042D8B">
        <w:rPr>
          <w:color w:val="000000"/>
        </w:rPr>
        <w:t xml:space="preserve">, </w:t>
      </w:r>
      <w:r w:rsidRPr="00716039">
        <w:rPr>
          <w:i/>
          <w:color w:val="000000"/>
        </w:rPr>
        <w:t>Donald W.</w:t>
      </w:r>
      <w:r w:rsidRPr="00042D8B">
        <w:rPr>
          <w:color w:val="000000"/>
        </w:rPr>
        <w:t xml:space="preserve"> (Ar</w:t>
      </w:r>
      <w:r w:rsidRPr="00716039">
        <w:rPr>
          <w:color w:val="000000"/>
        </w:rPr>
        <w:t>izona</w:t>
      </w:r>
      <w:r w:rsidR="00544E18">
        <w:rPr>
          <w:color w:val="000000"/>
        </w:rPr>
        <w:t xml:space="preserve"> in 2019</w:t>
      </w:r>
      <w:r w:rsidRPr="00042D8B">
        <w:rPr>
          <w:color w:val="000000"/>
        </w:rPr>
        <w:t>)</w:t>
      </w:r>
      <w:r w:rsidRPr="00716039">
        <w:rPr>
          <w:color w:val="000000"/>
        </w:rPr>
        <w:t xml:space="preserve">, and </w:t>
      </w:r>
      <w:r w:rsidRPr="00716039">
        <w:rPr>
          <w:i/>
          <w:color w:val="000000"/>
        </w:rPr>
        <w:t>Alexis O.</w:t>
      </w:r>
      <w:r w:rsidRPr="00042D8B">
        <w:rPr>
          <w:color w:val="000000"/>
        </w:rPr>
        <w:t xml:space="preserve"> (New Hampshire</w:t>
      </w:r>
      <w:r w:rsidR="00544E18">
        <w:rPr>
          <w:color w:val="000000"/>
        </w:rPr>
        <w:t xml:space="preserve"> in 2008</w:t>
      </w:r>
      <w:r w:rsidRPr="00042D8B">
        <w:rPr>
          <w:color w:val="000000"/>
        </w:rPr>
        <w:t>)</w:t>
      </w:r>
      <w:r w:rsidRPr="00716039">
        <w:rPr>
          <w:color w:val="000000"/>
        </w:rPr>
        <w:t xml:space="preserve">, </w:t>
      </w:r>
      <w:r w:rsidR="00544E18">
        <w:rPr>
          <w:color w:val="000000"/>
        </w:rPr>
        <w:t xml:space="preserve">mentioned above, </w:t>
      </w:r>
      <w:r w:rsidRPr="00042D8B">
        <w:rPr>
          <w:color w:val="000000"/>
        </w:rPr>
        <w:t xml:space="preserve">many other </w:t>
      </w:r>
      <w:r w:rsidR="0092732C" w:rsidRPr="00716039">
        <w:rPr>
          <w:color w:val="000000"/>
        </w:rPr>
        <w:t xml:space="preserve">state appellate </w:t>
      </w:r>
      <w:r w:rsidR="00CA34AC" w:rsidRPr="00716039">
        <w:rPr>
          <w:color w:val="000000"/>
        </w:rPr>
        <w:t xml:space="preserve">courts have </w:t>
      </w:r>
      <w:r w:rsidRPr="00716039">
        <w:rPr>
          <w:color w:val="000000"/>
        </w:rPr>
        <w:t xml:space="preserve">agreed with </w:t>
      </w:r>
      <w:proofErr w:type="spellStart"/>
      <w:r w:rsidRPr="00716039">
        <w:rPr>
          <w:i/>
          <w:color w:val="000000"/>
        </w:rPr>
        <w:t>McComb</w:t>
      </w:r>
      <w:proofErr w:type="spellEnd"/>
      <w:r w:rsidRPr="00716039">
        <w:rPr>
          <w:color w:val="000000"/>
        </w:rPr>
        <w:t xml:space="preserve"> </w:t>
      </w:r>
      <w:r w:rsidR="00CA34AC" w:rsidRPr="00716039">
        <w:rPr>
          <w:color w:val="000000"/>
        </w:rPr>
        <w:t>that the Administrators’ regulation</w:t>
      </w:r>
      <w:r w:rsidR="00D77996" w:rsidRPr="00716039">
        <w:rPr>
          <w:color w:val="000000"/>
        </w:rPr>
        <w:t xml:space="preserve">s purporting </w:t>
      </w:r>
      <w:r w:rsidR="002E40F5" w:rsidRPr="00716039">
        <w:rPr>
          <w:color w:val="000000"/>
        </w:rPr>
        <w:t>to extend the ICPC to parents are</w:t>
      </w:r>
      <w:r w:rsidR="00D77996" w:rsidRPr="00716039">
        <w:rPr>
          <w:color w:val="000000"/>
        </w:rPr>
        <w:t xml:space="preserve"> invalid for exceeding the scope, or contravening the purpose, of the ICPC statutes</w:t>
      </w:r>
      <w:r w:rsidR="00CA34AC" w:rsidRPr="00716039">
        <w:rPr>
          <w:color w:val="000000"/>
        </w:rPr>
        <w:t xml:space="preserve">. </w:t>
      </w:r>
      <w:r w:rsidRPr="00716039">
        <w:rPr>
          <w:color w:val="000000"/>
        </w:rPr>
        <w:t xml:space="preserve"> </w:t>
      </w:r>
      <w:proofErr w:type="spellStart"/>
      <w:r w:rsidRPr="00716039">
        <w:rPr>
          <w:i/>
          <w:color w:val="000000"/>
        </w:rPr>
        <w:t>McComb</w:t>
      </w:r>
      <w:proofErr w:type="spellEnd"/>
      <w:r w:rsidRPr="00716039">
        <w:rPr>
          <w:color w:val="000000"/>
        </w:rPr>
        <w:t>,</w:t>
      </w:r>
      <w:r w:rsidRPr="00716039">
        <w:rPr>
          <w:i/>
          <w:color w:val="000000"/>
        </w:rPr>
        <w:t xml:space="preserve"> </w:t>
      </w:r>
      <w:r w:rsidRPr="00716039">
        <w:rPr>
          <w:color w:val="000000"/>
        </w:rPr>
        <w:t>934 F.2d at 481 (finding the regulation “is of no effect and the statutory language must govern” since the regulation expanded the scope of</w:t>
      </w:r>
      <w:r w:rsidR="00124403">
        <w:rPr>
          <w:color w:val="000000"/>
        </w:rPr>
        <w:t>, and is inconsistent with,</w:t>
      </w:r>
      <w:r w:rsidRPr="00716039">
        <w:rPr>
          <w:color w:val="000000"/>
        </w:rPr>
        <w:t xml:space="preserve"> the statute). </w:t>
      </w:r>
      <w:r w:rsidR="00544E18">
        <w:rPr>
          <w:color w:val="000000"/>
        </w:rPr>
        <w:t xml:space="preserve"> For example:</w:t>
      </w:r>
      <w:r w:rsidRPr="00716039">
        <w:rPr>
          <w:color w:val="000000"/>
        </w:rPr>
        <w:t xml:space="preserve"> </w:t>
      </w:r>
    </w:p>
    <w:p w:rsidR="002A4303" w:rsidRDefault="002B1D89" w:rsidP="00716039">
      <w:pPr>
        <w:numPr>
          <w:ilvl w:val="0"/>
          <w:numId w:val="4"/>
        </w:numPr>
        <w:ind w:left="720"/>
        <w:rPr>
          <w:color w:val="212121"/>
        </w:rPr>
      </w:pPr>
      <w:r w:rsidRPr="00716039">
        <w:rPr>
          <w:i/>
          <w:color w:val="000000"/>
        </w:rPr>
        <w:t>In re R.S.</w:t>
      </w:r>
      <w:r w:rsidRPr="00716039">
        <w:rPr>
          <w:color w:val="000000"/>
        </w:rPr>
        <w:t>, 470 Md. 380, 235 A.3d 914, 928 (2020) (“</w:t>
      </w:r>
      <w:r w:rsidRPr="00716039">
        <w:rPr>
          <w:color w:val="212121"/>
        </w:rPr>
        <w:t>Based on the plain, unambiguous language of the relevant statutory provisions, we hold that the ICPC does not apply to interstate placements with non-custodial biological parents.”); </w:t>
      </w:r>
    </w:p>
    <w:p w:rsidR="002A4303" w:rsidRDefault="0092732C" w:rsidP="002A4303">
      <w:pPr>
        <w:numPr>
          <w:ilvl w:val="0"/>
          <w:numId w:val="4"/>
        </w:numPr>
        <w:ind w:left="720"/>
        <w:rPr>
          <w:color w:val="212121"/>
        </w:rPr>
      </w:pPr>
      <w:r w:rsidRPr="00716039">
        <w:rPr>
          <w:i/>
          <w:color w:val="000000"/>
        </w:rPr>
        <w:t>In re Emmanuel B.</w:t>
      </w:r>
      <w:r w:rsidRPr="00716039">
        <w:rPr>
          <w:color w:val="000000"/>
        </w:rPr>
        <w:t xml:space="preserve">, </w:t>
      </w:r>
      <w:r w:rsidRPr="00716039">
        <w:rPr>
          <w:color w:val="212121"/>
        </w:rPr>
        <w:t>175 A.D.3d 49, 57, 106 N.Y.S.3d 58 (2019) (</w:t>
      </w:r>
      <w:r w:rsidRPr="00716039">
        <w:rPr>
          <w:color w:val="000000"/>
        </w:rPr>
        <w:t>“</w:t>
      </w:r>
      <w:r w:rsidRPr="00716039">
        <w:rPr>
          <w:color w:val="212121"/>
        </w:rPr>
        <w:t>Regulation 3 [purporting to cover placements with parents] is inconsistent with the stated purpose of the ICPC and improperly expands the statutory language to apply to situations not within the intended scope of the statute.”);</w:t>
      </w:r>
      <w:r w:rsidR="002B1D89" w:rsidRPr="00716039">
        <w:rPr>
          <w:color w:val="212121"/>
        </w:rPr>
        <w:t xml:space="preserve"> </w:t>
      </w:r>
    </w:p>
    <w:p w:rsidR="002A4303" w:rsidRPr="00716039" w:rsidRDefault="002A4303" w:rsidP="00716039">
      <w:pPr>
        <w:numPr>
          <w:ilvl w:val="0"/>
          <w:numId w:val="4"/>
        </w:numPr>
        <w:ind w:left="720"/>
        <w:rPr>
          <w:color w:val="212121"/>
        </w:rPr>
      </w:pPr>
      <w:r w:rsidRPr="00323565">
        <w:rPr>
          <w:i/>
          <w:color w:val="212121"/>
        </w:rPr>
        <w:t>In Interest of C.R.-A.A.</w:t>
      </w:r>
      <w:r w:rsidRPr="00323565">
        <w:rPr>
          <w:color w:val="212121"/>
        </w:rPr>
        <w:t>, 521 S.W.3d 893, 904 (Tex. Ct. App. 2017) (adopting the reasoning of states that “have rejected application of the ICPC to </w:t>
      </w:r>
      <w:r w:rsidRPr="00323565">
        <w:rPr>
          <w:rStyle w:val="cosearchterm"/>
          <w:bCs/>
          <w:color w:val="252525"/>
        </w:rPr>
        <w:t>interstate</w:t>
      </w:r>
      <w:r w:rsidRPr="00323565">
        <w:rPr>
          <w:rStyle w:val="cosearchterm"/>
          <w:b/>
          <w:bCs/>
          <w:color w:val="252525"/>
        </w:rPr>
        <w:t xml:space="preserve"> </w:t>
      </w:r>
      <w:r w:rsidRPr="00323565">
        <w:rPr>
          <w:color w:val="212121"/>
        </w:rPr>
        <w:t>placement of a child with a natural parent” based on plain language of Art. III);</w:t>
      </w:r>
    </w:p>
    <w:p w:rsidR="002A4303" w:rsidRDefault="002A4303" w:rsidP="002A4303">
      <w:pPr>
        <w:numPr>
          <w:ilvl w:val="0"/>
          <w:numId w:val="4"/>
        </w:numPr>
        <w:ind w:left="720"/>
        <w:rPr>
          <w:color w:val="212121"/>
        </w:rPr>
      </w:pPr>
      <w:r w:rsidRPr="00D1315D">
        <w:rPr>
          <w:i/>
          <w:color w:val="000000"/>
        </w:rPr>
        <w:t>In re S.R.C.-Q</w:t>
      </w:r>
      <w:r w:rsidRPr="00D1315D">
        <w:rPr>
          <w:color w:val="000000"/>
        </w:rPr>
        <w:t>., 52 Kan. App. 2d 454, 464, 367 P.3d 1276 (2016) (“</w:t>
      </w:r>
      <w:r w:rsidRPr="00D1315D">
        <w:rPr>
          <w:color w:val="212121"/>
        </w:rPr>
        <w:t xml:space="preserve">[W]e hold that the ICPC applies only to out-of-state placements of children with foster care or as a preliminary to a possible adoption, not to out-of-state placements with a parent.”); </w:t>
      </w:r>
    </w:p>
    <w:p w:rsidR="002A4303" w:rsidRDefault="002B1D89" w:rsidP="00716039">
      <w:pPr>
        <w:numPr>
          <w:ilvl w:val="0"/>
          <w:numId w:val="4"/>
        </w:numPr>
        <w:ind w:left="720"/>
        <w:rPr>
          <w:color w:val="212121"/>
        </w:rPr>
      </w:pPr>
      <w:r w:rsidRPr="00716039">
        <w:rPr>
          <w:i/>
          <w:color w:val="212121"/>
        </w:rPr>
        <w:t>In re D.B.</w:t>
      </w:r>
      <w:r w:rsidRPr="00716039">
        <w:rPr>
          <w:color w:val="212121"/>
        </w:rPr>
        <w:t xml:space="preserve">, 43 N.E.3d 599, 604 (Ind. Ct. App. 2015) (“[T]he plain language of the statute makes clear that the ICPC only applies to the placement of a child in foster care or as a preliminary to a possible </w:t>
      </w:r>
      <w:proofErr w:type="gramStart"/>
      <w:r w:rsidRPr="00716039">
        <w:rPr>
          <w:color w:val="212121"/>
        </w:rPr>
        <w:t>adoption[</w:t>
      </w:r>
      <w:proofErr w:type="gramEnd"/>
      <w:r w:rsidRPr="00716039">
        <w:rPr>
          <w:color w:val="212121"/>
        </w:rPr>
        <w:t xml:space="preserve"> ]” and “[a] biological parent is neither[.]”);</w:t>
      </w:r>
      <w:r w:rsidR="0092732C" w:rsidRPr="00716039">
        <w:rPr>
          <w:color w:val="212121"/>
        </w:rPr>
        <w:t xml:space="preserve"> </w:t>
      </w:r>
    </w:p>
    <w:p w:rsidR="002A4303" w:rsidRDefault="002731A6" w:rsidP="00716039">
      <w:pPr>
        <w:numPr>
          <w:ilvl w:val="0"/>
          <w:numId w:val="4"/>
        </w:numPr>
        <w:ind w:left="720"/>
        <w:rPr>
          <w:color w:val="000000"/>
        </w:rPr>
      </w:pPr>
      <w:r w:rsidRPr="00716039">
        <w:rPr>
          <w:i/>
          <w:color w:val="000000"/>
        </w:rPr>
        <w:t>In re C.B.</w:t>
      </w:r>
      <w:r w:rsidRPr="00716039">
        <w:rPr>
          <w:color w:val="000000"/>
        </w:rPr>
        <w:t>, 188 Cal.</w:t>
      </w:r>
      <w:r w:rsidR="00C9110D" w:rsidRPr="00716039">
        <w:rPr>
          <w:color w:val="000000"/>
        </w:rPr>
        <w:t xml:space="preserve"> </w:t>
      </w:r>
      <w:r w:rsidRPr="00716039">
        <w:rPr>
          <w:color w:val="000000"/>
        </w:rPr>
        <w:t>App.</w:t>
      </w:r>
      <w:r w:rsidR="00C9110D" w:rsidRPr="00716039">
        <w:rPr>
          <w:color w:val="000000"/>
        </w:rPr>
        <w:t xml:space="preserve"> </w:t>
      </w:r>
      <w:r w:rsidRPr="00716039">
        <w:rPr>
          <w:color w:val="000000"/>
        </w:rPr>
        <w:t>4th</w:t>
      </w:r>
      <w:r w:rsidR="00D77996" w:rsidRPr="00716039">
        <w:rPr>
          <w:color w:val="000000"/>
        </w:rPr>
        <w:t xml:space="preserve"> 1024, 1026 (Cal. Ct. App. 2010)</w:t>
      </w:r>
      <w:r w:rsidR="00846386" w:rsidRPr="00716039">
        <w:rPr>
          <w:color w:val="000000"/>
        </w:rPr>
        <w:t xml:space="preserve"> (“California cases have consistently held that the ICPC does </w:t>
      </w:r>
      <w:r w:rsidR="00846386" w:rsidRPr="00716039">
        <w:rPr>
          <w:i/>
          <w:color w:val="000000"/>
        </w:rPr>
        <w:t>not</w:t>
      </w:r>
      <w:r w:rsidR="00846386" w:rsidRPr="00716039">
        <w:rPr>
          <w:color w:val="000000"/>
        </w:rPr>
        <w:t xml:space="preserve"> apply to an out-of-state placement with a parent.”)</w:t>
      </w:r>
      <w:r w:rsidR="00D77996" w:rsidRPr="00716039">
        <w:rPr>
          <w:color w:val="000000"/>
        </w:rPr>
        <w:t>;</w:t>
      </w:r>
      <w:r w:rsidRPr="00716039">
        <w:rPr>
          <w:color w:val="000000"/>
        </w:rPr>
        <w:t xml:space="preserve"> </w:t>
      </w:r>
    </w:p>
    <w:p w:rsidR="002A4303" w:rsidRPr="00716039" w:rsidRDefault="002731A6" w:rsidP="002A4303">
      <w:pPr>
        <w:numPr>
          <w:ilvl w:val="0"/>
          <w:numId w:val="4"/>
        </w:numPr>
        <w:ind w:left="720"/>
        <w:rPr>
          <w:color w:val="212121"/>
        </w:rPr>
      </w:pPr>
      <w:r w:rsidRPr="00716039">
        <w:rPr>
          <w:i/>
          <w:color w:val="000000"/>
        </w:rPr>
        <w:t>In re Dependency of D.F.-M.</w:t>
      </w:r>
      <w:r w:rsidR="00AF185A" w:rsidRPr="00716039">
        <w:rPr>
          <w:color w:val="000000"/>
        </w:rPr>
        <w:t xml:space="preserve">, 236 P.3d </w:t>
      </w:r>
      <w:r w:rsidR="008715FA" w:rsidRPr="00716039">
        <w:rPr>
          <w:color w:val="000000"/>
        </w:rPr>
        <w:t>961,</w:t>
      </w:r>
      <w:r w:rsidRPr="00716039">
        <w:rPr>
          <w:color w:val="000000"/>
        </w:rPr>
        <w:t xml:space="preserve"> 965 (Wash. Ct. App. 2010)</w:t>
      </w:r>
      <w:r w:rsidR="00846386" w:rsidRPr="00716039">
        <w:rPr>
          <w:color w:val="000000"/>
        </w:rPr>
        <w:t xml:space="preserve"> (“[The regulation] cannot control because it impermissibly expands the scope of the ICPC beyond that established in article III.”)</w:t>
      </w:r>
      <w:r w:rsidRPr="00716039">
        <w:rPr>
          <w:color w:val="000000"/>
        </w:rPr>
        <w:t xml:space="preserve">; </w:t>
      </w:r>
    </w:p>
    <w:p w:rsidR="002A4303" w:rsidRDefault="00354D53" w:rsidP="00716039">
      <w:pPr>
        <w:numPr>
          <w:ilvl w:val="0"/>
          <w:numId w:val="4"/>
        </w:numPr>
        <w:ind w:left="720"/>
        <w:rPr>
          <w:color w:val="000000"/>
        </w:rPr>
      </w:pPr>
      <w:r w:rsidRPr="00716039">
        <w:rPr>
          <w:i/>
          <w:color w:val="000000"/>
        </w:rPr>
        <w:t xml:space="preserve">Ark. Dept. of Human </w:t>
      </w:r>
      <w:proofErr w:type="spellStart"/>
      <w:r w:rsidRPr="00716039">
        <w:rPr>
          <w:i/>
          <w:color w:val="000000"/>
        </w:rPr>
        <w:t>Servs</w:t>
      </w:r>
      <w:proofErr w:type="spellEnd"/>
      <w:r w:rsidRPr="00716039">
        <w:rPr>
          <w:i/>
          <w:color w:val="000000"/>
        </w:rPr>
        <w:t>. v. Huff</w:t>
      </w:r>
      <w:r w:rsidRPr="00716039">
        <w:rPr>
          <w:color w:val="000000"/>
        </w:rPr>
        <w:t>, 65 S.W.3d 880</w:t>
      </w:r>
      <w:r w:rsidR="002E40F5" w:rsidRPr="00716039">
        <w:rPr>
          <w:color w:val="000000"/>
        </w:rPr>
        <w:t xml:space="preserve">, </w:t>
      </w:r>
      <w:r w:rsidR="00257721" w:rsidRPr="00716039">
        <w:rPr>
          <w:color w:val="000000"/>
        </w:rPr>
        <w:t>888</w:t>
      </w:r>
      <w:r w:rsidRPr="00716039">
        <w:rPr>
          <w:color w:val="000000"/>
        </w:rPr>
        <w:t xml:space="preserve"> (Ark. 2002)</w:t>
      </w:r>
      <w:r w:rsidR="002E40F5" w:rsidRPr="00716039">
        <w:rPr>
          <w:color w:val="000000"/>
        </w:rPr>
        <w:t xml:space="preserve"> (holding that the Compact was not intended to apply to placements with parents, and therefore regulations to the contrary were invalid)</w:t>
      </w:r>
      <w:r w:rsidRPr="00716039">
        <w:rPr>
          <w:color w:val="000000"/>
        </w:rPr>
        <w:t>;</w:t>
      </w:r>
      <w:r w:rsidR="002731A6" w:rsidRPr="00716039">
        <w:rPr>
          <w:color w:val="000000"/>
        </w:rPr>
        <w:t xml:space="preserve"> </w:t>
      </w:r>
    </w:p>
    <w:p w:rsidR="002A4303" w:rsidRDefault="00354D53" w:rsidP="00716039">
      <w:pPr>
        <w:numPr>
          <w:ilvl w:val="0"/>
          <w:numId w:val="4"/>
        </w:numPr>
        <w:ind w:left="720"/>
        <w:rPr>
          <w:color w:val="000000"/>
        </w:rPr>
      </w:pPr>
      <w:r w:rsidRPr="00716039">
        <w:rPr>
          <w:i/>
          <w:color w:val="000000"/>
        </w:rPr>
        <w:t>State, D</w:t>
      </w:r>
      <w:r w:rsidR="00A770C3" w:rsidRPr="00716039">
        <w:rPr>
          <w:i/>
          <w:color w:val="000000"/>
        </w:rPr>
        <w:t xml:space="preserve">iv. of </w:t>
      </w:r>
      <w:r w:rsidRPr="00716039">
        <w:rPr>
          <w:i/>
          <w:color w:val="000000"/>
        </w:rPr>
        <w:t>Y</w:t>
      </w:r>
      <w:r w:rsidR="00A770C3" w:rsidRPr="00716039">
        <w:rPr>
          <w:i/>
          <w:color w:val="000000"/>
        </w:rPr>
        <w:t xml:space="preserve">outh and </w:t>
      </w:r>
      <w:r w:rsidRPr="00716039">
        <w:rPr>
          <w:i/>
          <w:color w:val="000000"/>
        </w:rPr>
        <w:t>F</w:t>
      </w:r>
      <w:r w:rsidR="00A770C3" w:rsidRPr="00716039">
        <w:rPr>
          <w:i/>
          <w:color w:val="000000"/>
        </w:rPr>
        <w:t xml:space="preserve">amily </w:t>
      </w:r>
      <w:r w:rsidRPr="00716039">
        <w:rPr>
          <w:i/>
          <w:color w:val="000000"/>
        </w:rPr>
        <w:t>S</w:t>
      </w:r>
      <w:r w:rsidR="00A770C3" w:rsidRPr="00716039">
        <w:rPr>
          <w:i/>
          <w:color w:val="000000"/>
        </w:rPr>
        <w:t>erv.</w:t>
      </w:r>
      <w:r w:rsidRPr="00716039">
        <w:rPr>
          <w:i/>
          <w:color w:val="000000"/>
        </w:rPr>
        <w:t xml:space="preserve"> v. K.F.</w:t>
      </w:r>
      <w:r w:rsidRPr="00716039">
        <w:rPr>
          <w:color w:val="000000"/>
        </w:rPr>
        <w:t>, 803 A.2d 721</w:t>
      </w:r>
      <w:r w:rsidR="00C618EA" w:rsidRPr="00716039">
        <w:rPr>
          <w:color w:val="000000"/>
        </w:rPr>
        <w:t>, 727</w:t>
      </w:r>
      <w:r w:rsidRPr="00716039">
        <w:rPr>
          <w:color w:val="000000"/>
        </w:rPr>
        <w:t xml:space="preserve"> (N.J. Super. Ct. App. Div. 2002)</w:t>
      </w:r>
      <w:r w:rsidR="00AF185A" w:rsidRPr="00716039">
        <w:rPr>
          <w:color w:val="000000"/>
        </w:rPr>
        <w:t xml:space="preserve"> (agreeing with </w:t>
      </w:r>
      <w:proofErr w:type="spellStart"/>
      <w:r w:rsidR="00AF185A" w:rsidRPr="00716039">
        <w:rPr>
          <w:i/>
          <w:color w:val="000000"/>
        </w:rPr>
        <w:t>McComb</w:t>
      </w:r>
      <w:proofErr w:type="spellEnd"/>
      <w:r w:rsidR="00AF185A" w:rsidRPr="00716039">
        <w:rPr>
          <w:color w:val="000000"/>
        </w:rPr>
        <w:t xml:space="preserve"> that the regulations are contrary to the statute’s plain meaning)</w:t>
      </w:r>
      <w:r w:rsidR="002A4303">
        <w:rPr>
          <w:color w:val="000000"/>
        </w:rPr>
        <w:t>.</w:t>
      </w:r>
      <w:r w:rsidR="002A4303" w:rsidRPr="00716039">
        <w:rPr>
          <w:color w:val="000000"/>
        </w:rPr>
        <w:t xml:space="preserve"> </w:t>
      </w:r>
    </w:p>
    <w:p w:rsidR="002A4303" w:rsidRDefault="002A4303" w:rsidP="00716039">
      <w:pPr>
        <w:ind w:firstLine="720"/>
        <w:rPr>
          <w:color w:val="000000"/>
        </w:rPr>
      </w:pPr>
    </w:p>
    <w:p w:rsidR="007D43A0" w:rsidRPr="00B764C3" w:rsidRDefault="007D43A0" w:rsidP="004D5708">
      <w:pPr>
        <w:spacing w:line="480" w:lineRule="auto"/>
        <w:ind w:firstLine="720"/>
        <w:rPr>
          <w:color w:val="000000"/>
        </w:rPr>
      </w:pPr>
      <w:r w:rsidRPr="00716039">
        <w:rPr>
          <w:color w:val="000000"/>
        </w:rPr>
        <w:t xml:space="preserve">The Massachusetts </w:t>
      </w:r>
      <w:r w:rsidR="00292D81" w:rsidRPr="00716039">
        <w:rPr>
          <w:color w:val="000000"/>
        </w:rPr>
        <w:t xml:space="preserve">statute and </w:t>
      </w:r>
      <w:r w:rsidRPr="00716039">
        <w:rPr>
          <w:color w:val="000000"/>
        </w:rPr>
        <w:t xml:space="preserve">regulations </w:t>
      </w:r>
      <w:r w:rsidR="004F06F4" w:rsidRPr="00716039">
        <w:rPr>
          <w:color w:val="000000"/>
        </w:rPr>
        <w:t>are identical</w:t>
      </w:r>
      <w:r w:rsidR="004F06F4" w:rsidRPr="00B764C3">
        <w:rPr>
          <w:color w:val="000000"/>
        </w:rPr>
        <w:t xml:space="preserve"> to those of the other states.  </w:t>
      </w:r>
      <w:r w:rsidR="0092732C">
        <w:rPr>
          <w:color w:val="000000"/>
        </w:rPr>
        <w:t>T</w:t>
      </w:r>
      <w:r w:rsidR="004F06F4" w:rsidRPr="00B764C3">
        <w:rPr>
          <w:color w:val="000000"/>
        </w:rPr>
        <w:t>he Massachusetts regulations</w:t>
      </w:r>
      <w:r w:rsidRPr="00B764C3">
        <w:rPr>
          <w:color w:val="000000"/>
        </w:rPr>
        <w:t xml:space="preserve"> exceed the ICPC’s </w:t>
      </w:r>
      <w:r w:rsidR="00D22311" w:rsidRPr="00B764C3">
        <w:rPr>
          <w:color w:val="000000"/>
        </w:rPr>
        <w:t xml:space="preserve">statutory </w:t>
      </w:r>
      <w:r w:rsidR="00292D81" w:rsidRPr="00B764C3">
        <w:rPr>
          <w:color w:val="000000"/>
        </w:rPr>
        <w:t>authority</w:t>
      </w:r>
      <w:r w:rsidR="0092732C">
        <w:rPr>
          <w:color w:val="000000"/>
        </w:rPr>
        <w:t xml:space="preserve"> in </w:t>
      </w:r>
      <w:r w:rsidR="00124403">
        <w:rPr>
          <w:color w:val="000000"/>
        </w:rPr>
        <w:t xml:space="preserve">the </w:t>
      </w:r>
      <w:r w:rsidR="0092732C">
        <w:rPr>
          <w:color w:val="000000"/>
        </w:rPr>
        <w:t>same way as the regulations exceed the statutes in those other states</w:t>
      </w:r>
      <w:r w:rsidR="00292D81" w:rsidRPr="00B764C3">
        <w:rPr>
          <w:color w:val="000000"/>
        </w:rPr>
        <w:t>.  A</w:t>
      </w:r>
      <w:r w:rsidRPr="00B764C3">
        <w:rPr>
          <w:color w:val="000000"/>
        </w:rPr>
        <w:t xml:space="preserve">ccordingly, </w:t>
      </w:r>
      <w:r w:rsidR="00BE4AE3" w:rsidRPr="00B764C3">
        <w:rPr>
          <w:color w:val="000000"/>
        </w:rPr>
        <w:t>the</w:t>
      </w:r>
      <w:r w:rsidR="00124403">
        <w:rPr>
          <w:color w:val="000000"/>
        </w:rPr>
        <w:t xml:space="preserve"> DCF regulations</w:t>
      </w:r>
      <w:r w:rsidR="00BE4AE3" w:rsidRPr="00B764C3">
        <w:rPr>
          <w:color w:val="000000"/>
        </w:rPr>
        <w:t xml:space="preserve"> </w:t>
      </w:r>
      <w:r w:rsidRPr="00B764C3">
        <w:rPr>
          <w:color w:val="000000"/>
        </w:rPr>
        <w:t xml:space="preserve">are invalid.  The ICPC therefore does not apply to </w:t>
      </w:r>
      <w:r w:rsidR="004F06F4" w:rsidRPr="00B764C3">
        <w:rPr>
          <w:color w:val="000000"/>
        </w:rPr>
        <w:t>custody orders to</w:t>
      </w:r>
      <w:r w:rsidR="00D77996" w:rsidRPr="00B764C3">
        <w:rPr>
          <w:color w:val="000000"/>
        </w:rPr>
        <w:t xml:space="preserve"> out-of-state</w:t>
      </w:r>
      <w:r w:rsidRPr="00B764C3">
        <w:rPr>
          <w:color w:val="000000"/>
        </w:rPr>
        <w:t xml:space="preserve"> parents.</w:t>
      </w:r>
    </w:p>
    <w:p w:rsidR="00CA5B6A" w:rsidRPr="00B764C3" w:rsidRDefault="00BE4AE3" w:rsidP="00716039">
      <w:pPr>
        <w:ind w:left="720" w:hanging="720"/>
        <w:rPr>
          <w:b/>
          <w:color w:val="000000"/>
          <w:u w:val="single"/>
        </w:rPr>
      </w:pPr>
      <w:r w:rsidRPr="00B764C3">
        <w:rPr>
          <w:b/>
          <w:color w:val="000000"/>
        </w:rPr>
        <w:t>3</w:t>
      </w:r>
      <w:r w:rsidR="00CA5B6A" w:rsidRPr="00B764C3">
        <w:rPr>
          <w:b/>
          <w:color w:val="000000"/>
        </w:rPr>
        <w:t xml:space="preserve">. </w:t>
      </w:r>
      <w:r w:rsidR="0092732C">
        <w:rPr>
          <w:b/>
          <w:color w:val="000000"/>
        </w:rPr>
        <w:tab/>
      </w:r>
      <w:r w:rsidR="00CA5B6A" w:rsidRPr="00B764C3">
        <w:rPr>
          <w:b/>
          <w:color w:val="000000"/>
          <w:u w:val="single"/>
        </w:rPr>
        <w:t xml:space="preserve">A </w:t>
      </w:r>
      <w:r w:rsidR="00AD3509">
        <w:rPr>
          <w:b/>
          <w:color w:val="000000"/>
          <w:u w:val="single"/>
        </w:rPr>
        <w:t>months</w:t>
      </w:r>
      <w:r w:rsidR="0019039D">
        <w:rPr>
          <w:b/>
          <w:color w:val="000000"/>
          <w:u w:val="single"/>
        </w:rPr>
        <w:t>-</w:t>
      </w:r>
      <w:r w:rsidR="00AD3509">
        <w:rPr>
          <w:b/>
          <w:color w:val="000000"/>
          <w:u w:val="single"/>
        </w:rPr>
        <w:t xml:space="preserve">long </w:t>
      </w:r>
      <w:r w:rsidR="00CA5B6A" w:rsidRPr="00B764C3">
        <w:rPr>
          <w:b/>
          <w:color w:val="000000"/>
          <w:u w:val="single"/>
        </w:rPr>
        <w:t xml:space="preserve">deprivation of the custody </w:t>
      </w:r>
      <w:r w:rsidR="00BA5325" w:rsidRPr="00B764C3">
        <w:rPr>
          <w:b/>
          <w:color w:val="000000"/>
          <w:u w:val="single"/>
        </w:rPr>
        <w:t xml:space="preserve">of his son </w:t>
      </w:r>
      <w:r w:rsidR="00CA5B6A" w:rsidRPr="00B764C3">
        <w:rPr>
          <w:b/>
          <w:color w:val="000000"/>
          <w:u w:val="single"/>
        </w:rPr>
        <w:t xml:space="preserve">is an impermissible violation of Father’s </w:t>
      </w:r>
      <w:r w:rsidR="00740CA5" w:rsidRPr="00B764C3">
        <w:rPr>
          <w:b/>
          <w:color w:val="000000"/>
          <w:u w:val="single"/>
        </w:rPr>
        <w:t>due process rights</w:t>
      </w:r>
      <w:r w:rsidR="00CA5B6A" w:rsidRPr="00B764C3">
        <w:rPr>
          <w:b/>
          <w:color w:val="000000"/>
          <w:u w:val="single"/>
        </w:rPr>
        <w:t>.</w:t>
      </w:r>
    </w:p>
    <w:p w:rsidR="0092732C" w:rsidRDefault="0092732C" w:rsidP="00716039">
      <w:pPr>
        <w:ind w:firstLine="720"/>
        <w:rPr>
          <w:color w:val="000000"/>
        </w:rPr>
      </w:pPr>
    </w:p>
    <w:p w:rsidR="001A0A9C" w:rsidRDefault="001A0A9C" w:rsidP="00BA5325">
      <w:pPr>
        <w:spacing w:line="480" w:lineRule="auto"/>
        <w:ind w:firstLine="720"/>
        <w:rPr>
          <w:color w:val="000000"/>
        </w:rPr>
      </w:pPr>
      <w:r>
        <w:rPr>
          <w:color w:val="000000"/>
        </w:rPr>
        <w:t>As noted above, DCF does not allege, and has presented no evidence, that Father is unfit or poses a risk of immediate harm to his son.  At most, DCF claims to lack information about him, which Father can “remedy” with a social worker interview or in-person or telephonic testimony with this Court.  Such a delay – amounting to hours, perhaps even a day or two – might not offend Father’s or Child’s due process rights.  But a home study will likely take months to complete.</w:t>
      </w:r>
      <w:r>
        <w:rPr>
          <w:rStyle w:val="FootnoteReference"/>
          <w:color w:val="000000"/>
        </w:rPr>
        <w:footnoteReference w:id="1"/>
      </w:r>
      <w:r>
        <w:rPr>
          <w:color w:val="000000"/>
        </w:rPr>
        <w:t xml:space="preserve">   Depriving Father of his son, and the son of his Father, for months is an unacceptable violation of Father’s (and Child’s) substantive due process rights to family integrity and Father’s (and Child’s) procedural due process right to be heard at a meaningful time and in a meaningful manner.</w:t>
      </w:r>
    </w:p>
    <w:p w:rsidR="005B6968" w:rsidRPr="00B764C3" w:rsidRDefault="00171702" w:rsidP="00171702">
      <w:pPr>
        <w:spacing w:line="480" w:lineRule="auto"/>
        <w:ind w:firstLine="720"/>
        <w:rPr>
          <w:color w:val="000000"/>
        </w:rPr>
      </w:pPr>
      <w:r>
        <w:rPr>
          <w:color w:val="000000"/>
        </w:rPr>
        <w:t xml:space="preserve">The substantive and procedural due process rights at issue here are interrelated; both are considered in the procedural due process analysis.  </w:t>
      </w:r>
      <w:r w:rsidR="001C7595" w:rsidRPr="00B764C3">
        <w:rPr>
          <w:color w:val="000000"/>
        </w:rPr>
        <w:t>I</w:t>
      </w:r>
      <w:r w:rsidR="00C45FA2" w:rsidRPr="00B764C3">
        <w:rPr>
          <w:color w:val="000000"/>
        </w:rPr>
        <w:t xml:space="preserve">n determining </w:t>
      </w:r>
      <w:r w:rsidR="001677DE" w:rsidRPr="00B764C3">
        <w:rPr>
          <w:color w:val="000000"/>
        </w:rPr>
        <w:t>the nature and extent of the process that is due</w:t>
      </w:r>
      <w:r>
        <w:rPr>
          <w:color w:val="000000"/>
        </w:rPr>
        <w:t xml:space="preserve"> to Father (and Child)</w:t>
      </w:r>
      <w:r w:rsidR="001C7595" w:rsidRPr="00B764C3">
        <w:rPr>
          <w:color w:val="000000"/>
        </w:rPr>
        <w:t>, three factors</w:t>
      </w:r>
      <w:r w:rsidR="001677DE" w:rsidRPr="00B764C3">
        <w:rPr>
          <w:color w:val="000000"/>
        </w:rPr>
        <w:t xml:space="preserve"> must be balanced</w:t>
      </w:r>
      <w:r w:rsidR="00C45FA2" w:rsidRPr="00B764C3">
        <w:rPr>
          <w:color w:val="000000"/>
        </w:rPr>
        <w:t xml:space="preserve">: </w:t>
      </w:r>
      <w:r w:rsidR="00B416BE" w:rsidRPr="00B764C3">
        <w:rPr>
          <w:color w:val="000000"/>
        </w:rPr>
        <w:t xml:space="preserve">first, </w:t>
      </w:r>
      <w:r w:rsidR="00C45FA2" w:rsidRPr="00B764C3">
        <w:rPr>
          <w:color w:val="000000"/>
        </w:rPr>
        <w:t>th</w:t>
      </w:r>
      <w:r w:rsidR="005B6968" w:rsidRPr="00B764C3">
        <w:rPr>
          <w:color w:val="000000"/>
        </w:rPr>
        <w:t>e priva</w:t>
      </w:r>
      <w:r w:rsidR="00B416BE" w:rsidRPr="00B764C3">
        <w:rPr>
          <w:color w:val="000000"/>
        </w:rPr>
        <w:t>te interest at stake; second,</w:t>
      </w:r>
      <w:r w:rsidR="00C45FA2" w:rsidRPr="00B764C3">
        <w:rPr>
          <w:color w:val="000000"/>
        </w:rPr>
        <w:t xml:space="preserve"> the risk of erroneous deprivation of that interest </w:t>
      </w:r>
      <w:r w:rsidR="00B416BE" w:rsidRPr="00B764C3">
        <w:rPr>
          <w:color w:val="000000"/>
        </w:rPr>
        <w:t>through the procedures used; and third,</w:t>
      </w:r>
      <w:r w:rsidR="005B6968" w:rsidRPr="00B764C3">
        <w:rPr>
          <w:color w:val="000000"/>
        </w:rPr>
        <w:t xml:space="preserve"> the state’s interest</w:t>
      </w:r>
      <w:r w:rsidR="00C45FA2" w:rsidRPr="00B764C3">
        <w:rPr>
          <w:color w:val="000000"/>
        </w:rPr>
        <w:t>.</w:t>
      </w:r>
      <w:r w:rsidR="001C7595" w:rsidRPr="00B764C3">
        <w:rPr>
          <w:color w:val="000000"/>
        </w:rPr>
        <w:t xml:space="preserve">  </w:t>
      </w:r>
      <w:r w:rsidR="001C7595" w:rsidRPr="00B764C3">
        <w:rPr>
          <w:i/>
          <w:color w:val="000000"/>
        </w:rPr>
        <w:t>Mathews v. Eldridge</w:t>
      </w:r>
      <w:r w:rsidR="001C7595" w:rsidRPr="00B764C3">
        <w:rPr>
          <w:color w:val="000000"/>
        </w:rPr>
        <w:t>, 424 U.S. 319, 334-335 (1976).</w:t>
      </w:r>
      <w:r w:rsidR="006C55A8" w:rsidRPr="00B764C3">
        <w:rPr>
          <w:color w:val="000000"/>
        </w:rPr>
        <w:t xml:space="preserve">  </w:t>
      </w:r>
    </w:p>
    <w:p w:rsidR="005B6968" w:rsidRPr="00B764C3" w:rsidRDefault="006C55A8" w:rsidP="001677DE">
      <w:pPr>
        <w:spacing w:line="480" w:lineRule="auto"/>
        <w:ind w:firstLine="720"/>
      </w:pPr>
      <w:r w:rsidRPr="00B764C3">
        <w:rPr>
          <w:color w:val="000000"/>
        </w:rPr>
        <w:t xml:space="preserve">Here, the private interest </w:t>
      </w:r>
      <w:r w:rsidR="00DE2926" w:rsidRPr="00B764C3">
        <w:rPr>
          <w:color w:val="000000"/>
        </w:rPr>
        <w:t>at stake</w:t>
      </w:r>
      <w:r w:rsidR="00C863CE" w:rsidRPr="00B764C3">
        <w:rPr>
          <w:color w:val="000000"/>
        </w:rPr>
        <w:t xml:space="preserve"> is a</w:t>
      </w:r>
      <w:r w:rsidR="00C57A2A" w:rsidRPr="00B764C3">
        <w:rPr>
          <w:color w:val="000000"/>
        </w:rPr>
        <w:t xml:space="preserve"> parent’s interest in the care and custody of his child,</w:t>
      </w:r>
      <w:r w:rsidRPr="00B764C3">
        <w:rPr>
          <w:color w:val="000000"/>
        </w:rPr>
        <w:t xml:space="preserve"> “perhaps the oldest of the fundamental liberty interests recognized</w:t>
      </w:r>
      <w:proofErr w:type="gramStart"/>
      <w:r w:rsidR="00D347BD" w:rsidRPr="00B764C3">
        <w:rPr>
          <w:color w:val="000000"/>
        </w:rPr>
        <w:t xml:space="preserve">[.]” </w:t>
      </w:r>
      <w:r w:rsidR="001A795D">
        <w:rPr>
          <w:color w:val="000000"/>
        </w:rPr>
        <w:t xml:space="preserve"> </w:t>
      </w:r>
      <w:proofErr w:type="spellStart"/>
      <w:r w:rsidR="00D347BD" w:rsidRPr="00B764C3">
        <w:rPr>
          <w:i/>
          <w:color w:val="000000"/>
        </w:rPr>
        <w:t>Troxel</w:t>
      </w:r>
      <w:proofErr w:type="spellEnd"/>
      <w:proofErr w:type="gramEnd"/>
      <w:r w:rsidR="00D347BD" w:rsidRPr="00B764C3">
        <w:rPr>
          <w:i/>
          <w:color w:val="000000"/>
        </w:rPr>
        <w:t xml:space="preserve"> v. Granville</w:t>
      </w:r>
      <w:r w:rsidR="00D347BD" w:rsidRPr="00B764C3">
        <w:rPr>
          <w:color w:val="000000"/>
        </w:rPr>
        <w:t>, 530 U.S</w:t>
      </w:r>
      <w:r w:rsidR="00D347BD" w:rsidRPr="00B764C3">
        <w:t>. 57, 65 (2000).</w:t>
      </w:r>
      <w:r w:rsidR="00DE2926" w:rsidRPr="00B764C3">
        <w:t xml:space="preserve">  </w:t>
      </w:r>
      <w:r w:rsidR="00BA5325" w:rsidRPr="00B764C3">
        <w:t>T</w:t>
      </w:r>
      <w:r w:rsidR="006056E3" w:rsidRPr="00B764C3">
        <w:t xml:space="preserve">he Court in </w:t>
      </w:r>
      <w:proofErr w:type="spellStart"/>
      <w:r w:rsidR="006056E3" w:rsidRPr="00B764C3">
        <w:rPr>
          <w:i/>
        </w:rPr>
        <w:t>Troxel</w:t>
      </w:r>
      <w:proofErr w:type="spellEnd"/>
      <w:r w:rsidR="006056E3" w:rsidRPr="00B764C3">
        <w:t xml:space="preserve"> concludes that </w:t>
      </w:r>
      <w:r w:rsidR="009B2665" w:rsidRPr="00B764C3">
        <w:t>“</w:t>
      </w:r>
      <w:r w:rsidR="006056E3" w:rsidRPr="00B764C3">
        <w:t xml:space="preserve">it cannot now be doubted that the Due Process Clause of the Fourteenth Amendment protects the fundamental right of parents to make decisions concerning the care, custody, and control of their children.”  </w:t>
      </w:r>
      <w:r w:rsidR="006056E3" w:rsidRPr="00B764C3">
        <w:rPr>
          <w:i/>
        </w:rPr>
        <w:t>Id</w:t>
      </w:r>
      <w:r w:rsidR="006056E3" w:rsidRPr="00B764C3">
        <w:t>. at 66.</w:t>
      </w:r>
      <w:r w:rsidR="007C2203" w:rsidRPr="00B764C3">
        <w:t xml:space="preserve">  </w:t>
      </w:r>
      <w:r w:rsidR="00BA5325" w:rsidRPr="00B764C3">
        <w:t>Application of the ICPC’s home study requirement to Father, requiring him to wait</w:t>
      </w:r>
      <w:r w:rsidR="00AD3509">
        <w:t xml:space="preserve"> months</w:t>
      </w:r>
      <w:r w:rsidR="00BA5325" w:rsidRPr="00B764C3">
        <w:t xml:space="preserve"> for his son to be </w:t>
      </w:r>
      <w:r w:rsidR="00171702">
        <w:t>sent to</w:t>
      </w:r>
      <w:r w:rsidR="00BA5325" w:rsidRPr="00B764C3">
        <w:t xml:space="preserve"> him, violates his </w:t>
      </w:r>
      <w:r w:rsidR="00AC781F" w:rsidRPr="00B764C3">
        <w:t>well-established substantive</w:t>
      </w:r>
      <w:r w:rsidR="00BA5325" w:rsidRPr="00B764C3">
        <w:t xml:space="preserve"> due process</w:t>
      </w:r>
      <w:r w:rsidR="00AC781F" w:rsidRPr="00B764C3">
        <w:t xml:space="preserve"> rights as a parent.</w:t>
      </w:r>
    </w:p>
    <w:p w:rsidR="005B6968" w:rsidRPr="00B764C3" w:rsidRDefault="007C2203" w:rsidP="001677DE">
      <w:pPr>
        <w:spacing w:line="480" w:lineRule="auto"/>
        <w:ind w:firstLine="720"/>
      </w:pPr>
      <w:r w:rsidRPr="00B764C3">
        <w:t>The second factor, the risk of erroneous deprivation, likewise weighs against application of the ICPC.</w:t>
      </w:r>
      <w:r w:rsidR="00360694" w:rsidRPr="00B764C3">
        <w:t xml:space="preserve">  </w:t>
      </w:r>
      <w:r w:rsidR="00171702">
        <w:t>During the months Father (and Child) must wait for completion of the home study, there is no judicial determination of his rights whatsoever.  Meanwhile, there are no allegations that Father is unfit under G.L. c. 119, § 26 or poses an immediate risk of harm under G.L. c. 119, § 24.  P</w:t>
      </w:r>
      <w:r w:rsidR="00C73FE9" w:rsidRPr="00B764C3">
        <w:t>arents are presumed to be fit</w:t>
      </w:r>
      <w:r w:rsidR="00171702">
        <w:t>,</w:t>
      </w:r>
      <w:r w:rsidR="00771B41" w:rsidRPr="00B764C3">
        <w:t xml:space="preserve"> </w:t>
      </w:r>
      <w:r w:rsidR="00F97EB6" w:rsidRPr="00B764C3">
        <w:t xml:space="preserve">and </w:t>
      </w:r>
      <w:r w:rsidR="0033706F" w:rsidRPr="00B764C3">
        <w:t>t</w:t>
      </w:r>
      <w:r w:rsidR="00785919" w:rsidRPr="00B764C3">
        <w:t xml:space="preserve">hat presumption </w:t>
      </w:r>
      <w:r w:rsidR="0033706F" w:rsidRPr="00B764C3">
        <w:t>must be</w:t>
      </w:r>
      <w:r w:rsidR="00785919" w:rsidRPr="00B764C3">
        <w:t xml:space="preserve"> overcome</w:t>
      </w:r>
      <w:r w:rsidR="0033706F" w:rsidRPr="00B764C3">
        <w:t xml:space="preserve"> before </w:t>
      </w:r>
      <w:r w:rsidR="00F97EB6" w:rsidRPr="00B764C3">
        <w:t xml:space="preserve">they may be constitutionally deprived of </w:t>
      </w:r>
      <w:r w:rsidR="0033706F" w:rsidRPr="00B764C3">
        <w:t>their rights as parents</w:t>
      </w:r>
      <w:r w:rsidR="00771B41" w:rsidRPr="00B764C3">
        <w:t xml:space="preserve">.  </w:t>
      </w:r>
      <w:r w:rsidR="00785919" w:rsidRPr="00B764C3">
        <w:rPr>
          <w:i/>
        </w:rPr>
        <w:t>See</w:t>
      </w:r>
      <w:r w:rsidR="00785919" w:rsidRPr="00B764C3">
        <w:t xml:space="preserve"> </w:t>
      </w:r>
      <w:proofErr w:type="spellStart"/>
      <w:r w:rsidR="00F238BD" w:rsidRPr="00B764C3">
        <w:rPr>
          <w:i/>
        </w:rPr>
        <w:t>Troxel</w:t>
      </w:r>
      <w:proofErr w:type="spellEnd"/>
      <w:r w:rsidR="00F238BD" w:rsidRPr="00B764C3">
        <w:t>, 530 U.S.</w:t>
      </w:r>
      <w:r w:rsidR="00771B41" w:rsidRPr="00B764C3">
        <w:t xml:space="preserve"> at 58.</w:t>
      </w:r>
      <w:r w:rsidR="0033706F" w:rsidRPr="00B764C3">
        <w:t xml:space="preserve">  </w:t>
      </w:r>
      <w:r w:rsidR="00AF2469">
        <w:t>But, during the home study “wait,” the State need not overcome anything; rather, Father is deprived of his child and enjoys no procedural, evidentiary, or even constitutional protections whatsoever.  E</w:t>
      </w:r>
      <w:r w:rsidR="00AF2469" w:rsidRPr="00B764C3">
        <w:t xml:space="preserve">rroneous deprivation is not simply a risk here; it is a certainty.  </w:t>
      </w:r>
    </w:p>
    <w:p w:rsidR="009D5DA2" w:rsidRDefault="00A97D65" w:rsidP="00716039">
      <w:pPr>
        <w:spacing w:line="480" w:lineRule="auto"/>
        <w:ind w:firstLine="720"/>
      </w:pPr>
      <w:r w:rsidRPr="00B764C3">
        <w:t>The third factor to be balanced</w:t>
      </w:r>
      <w:r w:rsidR="005B6968" w:rsidRPr="00B764C3">
        <w:t xml:space="preserve"> is the State’s interest.  The S</w:t>
      </w:r>
      <w:r w:rsidR="006D2537" w:rsidRPr="00B764C3">
        <w:t>tate</w:t>
      </w:r>
      <w:r w:rsidRPr="00B764C3">
        <w:t xml:space="preserve"> </w:t>
      </w:r>
      <w:r w:rsidR="005B6968" w:rsidRPr="00B764C3">
        <w:t>ha</w:t>
      </w:r>
      <w:r w:rsidRPr="00B764C3">
        <w:t xml:space="preserve">s a </w:t>
      </w:r>
      <w:proofErr w:type="spellStart"/>
      <w:r w:rsidRPr="00716039">
        <w:rPr>
          <w:i/>
        </w:rPr>
        <w:t>parens</w:t>
      </w:r>
      <w:proofErr w:type="spellEnd"/>
      <w:r w:rsidRPr="00716039">
        <w:rPr>
          <w:i/>
        </w:rPr>
        <w:t xml:space="preserve"> </w:t>
      </w:r>
      <w:proofErr w:type="spellStart"/>
      <w:r w:rsidRPr="00716039">
        <w:rPr>
          <w:i/>
        </w:rPr>
        <w:t>patriae</w:t>
      </w:r>
      <w:proofErr w:type="spellEnd"/>
      <w:r w:rsidRPr="00B764C3">
        <w:t xml:space="preserve"> i</w:t>
      </w:r>
      <w:r w:rsidR="006D2537" w:rsidRPr="00B764C3">
        <w:t xml:space="preserve">nterest in protecting the child, which sometimes justifies </w:t>
      </w:r>
      <w:r w:rsidR="006135BB" w:rsidRPr="00B764C3">
        <w:t xml:space="preserve">the </w:t>
      </w:r>
      <w:r w:rsidR="006D2537" w:rsidRPr="00B764C3">
        <w:t xml:space="preserve">temporary deprivation of a parent’s right to his child.  </w:t>
      </w:r>
      <w:r w:rsidR="006D2537" w:rsidRPr="00B764C3">
        <w:rPr>
          <w:color w:val="000000"/>
        </w:rPr>
        <w:t>For example, Massachusetts law allows the state to take emergency custody of a child for up to 72 hours before a hearing</w:t>
      </w:r>
      <w:r w:rsidR="00AF2469">
        <w:rPr>
          <w:color w:val="000000"/>
        </w:rPr>
        <w:t xml:space="preserve"> under </w:t>
      </w:r>
      <w:r w:rsidR="006D2537" w:rsidRPr="00B764C3">
        <w:rPr>
          <w:iCs/>
          <w:color w:val="000000"/>
        </w:rPr>
        <w:t>G.L. c.119, § 24</w:t>
      </w:r>
      <w:r w:rsidR="006D2537" w:rsidRPr="00B764C3">
        <w:rPr>
          <w:color w:val="000000"/>
        </w:rPr>
        <w:t xml:space="preserve">, and the permissibility of that brief deprivation </w:t>
      </w:r>
      <w:r w:rsidR="00C241BA" w:rsidRPr="00B764C3">
        <w:rPr>
          <w:color w:val="000000"/>
        </w:rPr>
        <w:t xml:space="preserve">prior to a hearing </w:t>
      </w:r>
      <w:r w:rsidR="006D2537" w:rsidRPr="00B764C3">
        <w:rPr>
          <w:color w:val="000000"/>
        </w:rPr>
        <w:t xml:space="preserve">is not contested.  </w:t>
      </w:r>
      <w:r w:rsidR="00C241BA" w:rsidRPr="00B764C3">
        <w:rPr>
          <w:i/>
          <w:color w:val="000000"/>
        </w:rPr>
        <w:t xml:space="preserve">See </w:t>
      </w:r>
      <w:r w:rsidR="006D2537" w:rsidRPr="00B764C3">
        <w:rPr>
          <w:i/>
          <w:color w:val="000000"/>
        </w:rPr>
        <w:t>Care and Protection of Robert</w:t>
      </w:r>
      <w:r w:rsidR="006D2537" w:rsidRPr="00B764C3">
        <w:rPr>
          <w:color w:val="000000"/>
        </w:rPr>
        <w:t>, 408 Mass. 52, 60 (1990)</w:t>
      </w:r>
      <w:r w:rsidR="00893E1B" w:rsidRPr="00B764C3">
        <w:rPr>
          <w:color w:val="000000"/>
        </w:rPr>
        <w:t xml:space="preserve"> (</w:t>
      </w:r>
      <w:r w:rsidR="00E457EB" w:rsidRPr="00B764C3">
        <w:rPr>
          <w:color w:val="000000"/>
        </w:rPr>
        <w:t>noting that temporary removal pending the 72-hour hearing is acceptable given the state’s interest in protecting the child)</w:t>
      </w:r>
      <w:r w:rsidR="006D2537" w:rsidRPr="00B764C3">
        <w:rPr>
          <w:color w:val="000000"/>
        </w:rPr>
        <w:t xml:space="preserve">.  </w:t>
      </w:r>
      <w:r w:rsidR="006D2537" w:rsidRPr="00B764C3">
        <w:t>However,</w:t>
      </w:r>
      <w:r w:rsidR="005B6968" w:rsidRPr="00B764C3">
        <w:t xml:space="preserve"> </w:t>
      </w:r>
      <w:r w:rsidR="005614A5" w:rsidRPr="00B764C3">
        <w:t>with</w:t>
      </w:r>
      <w:r w:rsidR="005B6968" w:rsidRPr="00B764C3">
        <w:t xml:space="preserve"> no </w:t>
      </w:r>
      <w:r w:rsidR="00C241BA" w:rsidRPr="00B764C3">
        <w:t>findings (</w:t>
      </w:r>
      <w:r w:rsidR="00E626F2" w:rsidRPr="00B764C3">
        <w:t xml:space="preserve">or </w:t>
      </w:r>
      <w:r w:rsidR="005B6968" w:rsidRPr="00B764C3">
        <w:t>allegations</w:t>
      </w:r>
      <w:r w:rsidR="00C241BA" w:rsidRPr="00B764C3">
        <w:t>)</w:t>
      </w:r>
      <w:r w:rsidR="005B6968" w:rsidRPr="00B764C3">
        <w:t xml:space="preserve"> of parental unfitness</w:t>
      </w:r>
      <w:r w:rsidR="00AD3509">
        <w:t xml:space="preserve"> or protective concerns</w:t>
      </w:r>
      <w:r w:rsidR="005B6968" w:rsidRPr="00B764C3">
        <w:t xml:space="preserve">, </w:t>
      </w:r>
      <w:r w:rsidR="006135BB" w:rsidRPr="00B764C3">
        <w:t>t</w:t>
      </w:r>
      <w:r w:rsidR="005B6968" w:rsidRPr="00B764C3">
        <w:t xml:space="preserve">he State has no compelling interest that </w:t>
      </w:r>
      <w:r w:rsidR="00AF2469">
        <w:t>justifies</w:t>
      </w:r>
      <w:r w:rsidR="005B6968" w:rsidRPr="00B764C3">
        <w:t xml:space="preserve"> a delay in </w:t>
      </w:r>
      <w:r w:rsidR="005614A5" w:rsidRPr="00B764C3">
        <w:t xml:space="preserve">granting </w:t>
      </w:r>
      <w:r w:rsidR="005B6968" w:rsidRPr="00B764C3">
        <w:t xml:space="preserve">custody to Father.  </w:t>
      </w:r>
    </w:p>
    <w:p w:rsidR="000403C9" w:rsidRDefault="006135BB" w:rsidP="00716039">
      <w:pPr>
        <w:spacing w:line="480" w:lineRule="auto"/>
        <w:ind w:firstLine="720"/>
        <w:rPr>
          <w:color w:val="212121"/>
        </w:rPr>
      </w:pPr>
      <w:r w:rsidRPr="00716039">
        <w:rPr>
          <w:color w:val="000000"/>
        </w:rPr>
        <w:t xml:space="preserve">Based on the </w:t>
      </w:r>
      <w:r w:rsidRPr="00716039">
        <w:rPr>
          <w:i/>
          <w:color w:val="000000"/>
        </w:rPr>
        <w:t>Mathews</w:t>
      </w:r>
      <w:r w:rsidRPr="00716039">
        <w:rPr>
          <w:color w:val="000000"/>
        </w:rPr>
        <w:t xml:space="preserve"> test, the application of the ICPC to parents </w:t>
      </w:r>
      <w:r w:rsidR="004B2515" w:rsidRPr="00716039">
        <w:rPr>
          <w:color w:val="000000"/>
        </w:rPr>
        <w:t xml:space="preserve">deprives them of their rights </w:t>
      </w:r>
      <w:r w:rsidR="00C241BA" w:rsidRPr="00716039">
        <w:rPr>
          <w:color w:val="000000"/>
        </w:rPr>
        <w:t xml:space="preserve">to the care and custody of their children </w:t>
      </w:r>
      <w:r w:rsidR="004B2515" w:rsidRPr="00716039">
        <w:rPr>
          <w:color w:val="000000"/>
        </w:rPr>
        <w:t>without</w:t>
      </w:r>
      <w:r w:rsidRPr="00716039">
        <w:rPr>
          <w:color w:val="000000"/>
        </w:rPr>
        <w:t xml:space="preserve"> </w:t>
      </w:r>
      <w:r w:rsidR="00F65D7B" w:rsidRPr="00716039">
        <w:rPr>
          <w:color w:val="000000"/>
        </w:rPr>
        <w:t>due</w:t>
      </w:r>
      <w:r w:rsidRPr="00716039">
        <w:rPr>
          <w:color w:val="000000"/>
        </w:rPr>
        <w:t xml:space="preserve"> process.</w:t>
      </w:r>
      <w:r w:rsidR="00E67C08" w:rsidRPr="00716039">
        <w:rPr>
          <w:color w:val="000000"/>
        </w:rPr>
        <w:t xml:space="preserve"> </w:t>
      </w:r>
      <w:r w:rsidR="009D5DA2" w:rsidRPr="00716039">
        <w:rPr>
          <w:color w:val="000000"/>
        </w:rPr>
        <w:t xml:space="preserve"> B</w:t>
      </w:r>
      <w:r w:rsidR="00571887" w:rsidRPr="00716039">
        <w:rPr>
          <w:color w:val="000000"/>
        </w:rPr>
        <w:t xml:space="preserve">rief deprivations of rights </w:t>
      </w:r>
      <w:r w:rsidR="00AF2469" w:rsidRPr="00716039">
        <w:rPr>
          <w:color w:val="000000"/>
        </w:rPr>
        <w:t xml:space="preserve">– counted in hours, not weeks or months – are </w:t>
      </w:r>
      <w:r w:rsidR="00571887" w:rsidRPr="00716039">
        <w:rPr>
          <w:color w:val="000000"/>
        </w:rPr>
        <w:t xml:space="preserve">permissible when they are </w:t>
      </w:r>
      <w:r w:rsidR="00D11E85" w:rsidRPr="00716039">
        <w:rPr>
          <w:color w:val="000000"/>
        </w:rPr>
        <w:t>necessary to protect important s</w:t>
      </w:r>
      <w:r w:rsidR="00901BC2" w:rsidRPr="00716039">
        <w:rPr>
          <w:color w:val="000000"/>
        </w:rPr>
        <w:t>tate interests.  B</w:t>
      </w:r>
      <w:r w:rsidR="00571887" w:rsidRPr="00716039">
        <w:rPr>
          <w:color w:val="000000"/>
        </w:rPr>
        <w:t xml:space="preserve">ut </w:t>
      </w:r>
      <w:r w:rsidR="00F65D7B" w:rsidRPr="00716039">
        <w:rPr>
          <w:color w:val="000000"/>
        </w:rPr>
        <w:t xml:space="preserve">a deprivation of </w:t>
      </w:r>
      <w:r w:rsidR="009D5DA2" w:rsidRPr="00716039">
        <w:rPr>
          <w:color w:val="000000"/>
        </w:rPr>
        <w:t xml:space="preserve">weeks or </w:t>
      </w:r>
      <w:r w:rsidR="00AD3509" w:rsidRPr="00716039">
        <w:rPr>
          <w:color w:val="000000"/>
        </w:rPr>
        <w:t xml:space="preserve">months </w:t>
      </w:r>
      <w:r w:rsidR="00571887" w:rsidRPr="00716039">
        <w:rPr>
          <w:color w:val="000000"/>
        </w:rPr>
        <w:t xml:space="preserve">clearly exceeds the threshold of </w:t>
      </w:r>
      <w:r w:rsidR="00F65D7B" w:rsidRPr="00716039">
        <w:rPr>
          <w:color w:val="000000"/>
        </w:rPr>
        <w:t>permissi</w:t>
      </w:r>
      <w:r w:rsidR="00571887" w:rsidRPr="00716039">
        <w:rPr>
          <w:color w:val="000000"/>
        </w:rPr>
        <w:t>bility</w:t>
      </w:r>
      <w:r w:rsidR="00901BC2" w:rsidRPr="00716039">
        <w:rPr>
          <w:color w:val="000000"/>
        </w:rPr>
        <w:t>.</w:t>
      </w:r>
      <w:r w:rsidR="009D5DA2" w:rsidRPr="00716039">
        <w:rPr>
          <w:rStyle w:val="FootnoteReference"/>
          <w:color w:val="000000"/>
        </w:rPr>
        <w:footnoteReference w:id="2"/>
      </w:r>
      <w:r w:rsidR="00E3139A" w:rsidRPr="00716039">
        <w:rPr>
          <w:color w:val="000000"/>
        </w:rPr>
        <w:t xml:space="preserve">  </w:t>
      </w:r>
      <w:r w:rsidR="00E3139A" w:rsidRPr="00716039">
        <w:rPr>
          <w:i/>
          <w:color w:val="000000"/>
        </w:rPr>
        <w:t>See</w:t>
      </w:r>
      <w:r w:rsidR="00E3139A" w:rsidRPr="00716039">
        <w:rPr>
          <w:color w:val="000000"/>
        </w:rPr>
        <w:t xml:space="preserve"> </w:t>
      </w:r>
      <w:r w:rsidR="00E3139A" w:rsidRPr="00716039">
        <w:rPr>
          <w:i/>
          <w:color w:val="000000"/>
        </w:rPr>
        <w:t>In re Emmanuel B</w:t>
      </w:r>
      <w:r w:rsidR="00E3139A" w:rsidRPr="00716039">
        <w:rPr>
          <w:color w:val="000000"/>
        </w:rPr>
        <w:t xml:space="preserve">., </w:t>
      </w:r>
      <w:r w:rsidR="00E3139A" w:rsidRPr="00716039">
        <w:rPr>
          <w:color w:val="212121"/>
        </w:rPr>
        <w:t xml:space="preserve">175 A.D.3d 49, 597, 106 N.Y.S.3d 58 (2019) (“Unless the Family Court has cause to believe a </w:t>
      </w:r>
      <w:proofErr w:type="spellStart"/>
      <w:r w:rsidR="00E3139A" w:rsidRPr="00716039">
        <w:rPr>
          <w:color w:val="212121"/>
        </w:rPr>
        <w:t>nonrespondent</w:t>
      </w:r>
      <w:proofErr w:type="spellEnd"/>
      <w:r w:rsidR="00E3139A" w:rsidRPr="00716039">
        <w:rPr>
          <w:color w:val="212121"/>
        </w:rPr>
        <w:t xml:space="preserve"> parent in another state might not be fit, or some other extraordinary circumstances exist, presupposing a parent is unfit pending completion of the ICPC </w:t>
      </w:r>
      <w:r w:rsidR="00E3139A" w:rsidRPr="00716039">
        <w:rPr>
          <w:rStyle w:val="cosearchwithinterm"/>
          <w:bCs/>
          <w:color w:val="212121"/>
        </w:rPr>
        <w:t>process</w:t>
      </w:r>
      <w:r w:rsidR="00E3139A" w:rsidRPr="00716039">
        <w:rPr>
          <w:color w:val="212121"/>
        </w:rPr>
        <w:t> infringes upon that parent</w:t>
      </w:r>
      <w:r w:rsidR="00E3139A">
        <w:rPr>
          <w:color w:val="212121"/>
        </w:rPr>
        <w:t>’</w:t>
      </w:r>
      <w:r w:rsidR="00E3139A" w:rsidRPr="00716039">
        <w:rPr>
          <w:color w:val="212121"/>
        </w:rPr>
        <w:t>s constitutional rights</w:t>
      </w:r>
      <w:r w:rsidR="00E3139A">
        <w:rPr>
          <w:color w:val="212121"/>
        </w:rPr>
        <w:t>.”)</w:t>
      </w:r>
      <w:r w:rsidR="002B1D89">
        <w:rPr>
          <w:color w:val="212121"/>
        </w:rPr>
        <w:t>.  As the Maryland Court of Appeals said recently in</w:t>
      </w:r>
      <w:r w:rsidR="00E3139A">
        <w:rPr>
          <w:color w:val="212121"/>
        </w:rPr>
        <w:t xml:space="preserve"> </w:t>
      </w:r>
      <w:proofErr w:type="gramStart"/>
      <w:r w:rsidR="002B1D89" w:rsidRPr="00716039">
        <w:rPr>
          <w:i/>
          <w:color w:val="212121"/>
        </w:rPr>
        <w:t>In</w:t>
      </w:r>
      <w:proofErr w:type="gramEnd"/>
      <w:r w:rsidR="002B1D89" w:rsidRPr="00716039">
        <w:rPr>
          <w:i/>
          <w:color w:val="212121"/>
        </w:rPr>
        <w:t xml:space="preserve"> re R.S.</w:t>
      </w:r>
      <w:r w:rsidR="000403C9">
        <w:rPr>
          <w:color w:val="212121"/>
        </w:rPr>
        <w:t>:</w:t>
      </w:r>
    </w:p>
    <w:p w:rsidR="000403C9" w:rsidRDefault="002B1D89" w:rsidP="00716039">
      <w:pPr>
        <w:ind w:left="720" w:right="634"/>
        <w:rPr>
          <w:color w:val="212121"/>
        </w:rPr>
      </w:pPr>
      <w:r w:rsidRPr="00716039">
        <w:rPr>
          <w:color w:val="212121"/>
        </w:rPr>
        <w:t>As a matter of public policy, any reading of the ICPC, which concludes that the compact applies to placements with biological parents (who have not been deemed unfit), would conflict with state and federal constitutional law. Subjecting a biological parent—who has not relinquished his parental rights, had those rights been extinguished by a juvenile court, or has otherwise been determined to be unfit as a parent—to the procedural hurdles and delays associated with an ICPC investigation unnecessarily deprives the individual of the fundamental right to parent.</w:t>
      </w:r>
      <w:r w:rsidR="000403C9" w:rsidRPr="000403C9">
        <w:rPr>
          <w:color w:val="212121"/>
        </w:rPr>
        <w:t xml:space="preserve"> </w:t>
      </w:r>
    </w:p>
    <w:p w:rsidR="000403C9" w:rsidRDefault="000403C9" w:rsidP="00716039">
      <w:pPr>
        <w:rPr>
          <w:color w:val="212121"/>
        </w:rPr>
      </w:pPr>
    </w:p>
    <w:p w:rsidR="00901BC2" w:rsidRPr="00716039" w:rsidRDefault="000403C9" w:rsidP="00716039">
      <w:pPr>
        <w:spacing w:line="480" w:lineRule="auto"/>
        <w:rPr>
          <w:color w:val="000000"/>
        </w:rPr>
      </w:pPr>
      <w:r w:rsidRPr="00924DB3">
        <w:rPr>
          <w:color w:val="212121"/>
        </w:rPr>
        <w:t xml:space="preserve">470 Md. 380, 414, </w:t>
      </w:r>
      <w:r>
        <w:rPr>
          <w:color w:val="212121"/>
        </w:rPr>
        <w:t>235 A.3d 914 (Md. Ct. App. 2020).  Father, here, is similarly deprived of due process.</w:t>
      </w:r>
    </w:p>
    <w:p w:rsidR="00C2382E" w:rsidRPr="00B764C3" w:rsidRDefault="00E73FA0" w:rsidP="00716039">
      <w:pPr>
        <w:ind w:left="720" w:hanging="720"/>
        <w:rPr>
          <w:b/>
          <w:u w:val="single"/>
        </w:rPr>
      </w:pPr>
      <w:r w:rsidRPr="00B764C3">
        <w:rPr>
          <w:b/>
        </w:rPr>
        <w:t>4</w:t>
      </w:r>
      <w:r w:rsidR="00C2382E" w:rsidRPr="00B764C3">
        <w:rPr>
          <w:b/>
        </w:rPr>
        <w:t xml:space="preserve">. </w:t>
      </w:r>
      <w:r w:rsidR="00AF1C80">
        <w:rPr>
          <w:b/>
        </w:rPr>
        <w:tab/>
      </w:r>
      <w:r w:rsidR="00C2382E" w:rsidRPr="00B764C3">
        <w:rPr>
          <w:b/>
          <w:u w:val="single"/>
        </w:rPr>
        <w:t>Applying the ICPC requirements to Father violate</w:t>
      </w:r>
      <w:r w:rsidR="007934D2" w:rsidRPr="00B764C3">
        <w:rPr>
          <w:b/>
          <w:u w:val="single"/>
        </w:rPr>
        <w:t>s</w:t>
      </w:r>
      <w:r w:rsidR="00C2382E" w:rsidRPr="00B764C3">
        <w:rPr>
          <w:b/>
          <w:u w:val="single"/>
        </w:rPr>
        <w:t xml:space="preserve"> his right to equal protection under the law.</w:t>
      </w:r>
    </w:p>
    <w:p w:rsidR="00AF1C80" w:rsidRDefault="00AF1C80" w:rsidP="00716039">
      <w:pPr>
        <w:ind w:firstLine="720"/>
      </w:pPr>
    </w:p>
    <w:p w:rsidR="008A1318" w:rsidRDefault="008A1318" w:rsidP="0039119E">
      <w:pPr>
        <w:spacing w:line="480" w:lineRule="auto"/>
        <w:ind w:firstLine="720"/>
      </w:pPr>
      <w:r>
        <w:t xml:space="preserve">Requiring a home study for Father merely because he lives across state lines violates his right to Equal Protection.  </w:t>
      </w:r>
      <w:r w:rsidR="007934D2" w:rsidRPr="00B764C3">
        <w:t>T</w:t>
      </w:r>
      <w:r w:rsidR="001341EA" w:rsidRPr="00B764C3">
        <w:t xml:space="preserve">he Equal Protection Clause of the Fourteenth Amendment requires similar treatment of those who are similarly situated.  </w:t>
      </w:r>
      <w:r w:rsidR="001341EA" w:rsidRPr="00B764C3">
        <w:rPr>
          <w:i/>
        </w:rPr>
        <w:t>City of Cleburne, Tex. v. Cleburne Living Ctr.</w:t>
      </w:r>
      <w:r w:rsidR="001341EA" w:rsidRPr="00B764C3">
        <w:t xml:space="preserve">, 473 U.S. 432, 439 (1985).  </w:t>
      </w:r>
      <w:r w:rsidR="000D1D84" w:rsidRPr="00B764C3">
        <w:t xml:space="preserve">The state “may not draw distinctions between individuals based solely on differences that are irrelevant to a legitimate government objective.”  </w:t>
      </w:r>
      <w:r w:rsidR="000D1D84" w:rsidRPr="00B764C3">
        <w:rPr>
          <w:i/>
        </w:rPr>
        <w:t>Lehr v. Robinson</w:t>
      </w:r>
      <w:r w:rsidR="000D1D84" w:rsidRPr="00B764C3">
        <w:t xml:space="preserve">, 463 U.S. 248, 265 (1983).   </w:t>
      </w:r>
    </w:p>
    <w:p w:rsidR="000D1D84" w:rsidRPr="00B764C3" w:rsidRDefault="002A4581" w:rsidP="0039119E">
      <w:pPr>
        <w:spacing w:line="480" w:lineRule="auto"/>
        <w:ind w:firstLine="720"/>
      </w:pPr>
      <w:r w:rsidRPr="00B764C3">
        <w:t>When a fundamental right is implicated,</w:t>
      </w:r>
      <w:r w:rsidR="005474C7" w:rsidRPr="00B764C3">
        <w:t xml:space="preserve"> </w:t>
      </w:r>
      <w:r w:rsidR="00C67D3A" w:rsidRPr="00B764C3">
        <w:t>distinctions drawn by the state are subject to strict scrutiny</w:t>
      </w:r>
      <w:r w:rsidR="000D1D84" w:rsidRPr="00B764C3">
        <w:t>.</w:t>
      </w:r>
      <w:r w:rsidRPr="00B764C3">
        <w:t xml:space="preserve"> </w:t>
      </w:r>
      <w:r w:rsidR="000D1D84" w:rsidRPr="00B764C3">
        <w:t xml:space="preserve"> </w:t>
      </w:r>
      <w:r w:rsidR="00C67D3A" w:rsidRPr="00B764C3">
        <w:rPr>
          <w:i/>
        </w:rPr>
        <w:t>Skinner v. State of Okla.</w:t>
      </w:r>
      <w:r w:rsidR="00C67D3A" w:rsidRPr="00B764C3">
        <w:t xml:space="preserve"> </w:t>
      </w:r>
      <w:r w:rsidR="00C67D3A" w:rsidRPr="00B764C3">
        <w:rPr>
          <w:i/>
        </w:rPr>
        <w:t>ex rel. Williamson</w:t>
      </w:r>
      <w:r w:rsidR="00C67D3A" w:rsidRPr="00B764C3">
        <w:t>, 316 U.S. 535, 541 (1942)</w:t>
      </w:r>
      <w:r w:rsidR="000D1D84" w:rsidRPr="00B764C3">
        <w:t xml:space="preserve">.  </w:t>
      </w:r>
      <w:r w:rsidR="00C72D7A" w:rsidRPr="00B764C3">
        <w:t>Custody orders under the ICPC implicate the right to the care and custody of a child</w:t>
      </w:r>
      <w:r w:rsidR="00CB4789" w:rsidRPr="00B764C3">
        <w:t>, which is a fundamental right</w:t>
      </w:r>
      <w:r w:rsidR="00C72D7A" w:rsidRPr="00B764C3">
        <w:t xml:space="preserve">.  </w:t>
      </w:r>
      <w:proofErr w:type="spellStart"/>
      <w:r w:rsidR="00C72D7A" w:rsidRPr="00B764C3">
        <w:rPr>
          <w:i/>
        </w:rPr>
        <w:t>Troxel</w:t>
      </w:r>
      <w:proofErr w:type="spellEnd"/>
      <w:r w:rsidR="003E63A9" w:rsidRPr="00B764C3">
        <w:t>, 530 U.S. at 66</w:t>
      </w:r>
      <w:r w:rsidR="00C72D7A" w:rsidRPr="00B764C3">
        <w:t>.  Strict scrutiny is therefore necessary.</w:t>
      </w:r>
      <w:r w:rsidR="008A1318">
        <w:t xml:space="preserve">  </w:t>
      </w:r>
      <w:r w:rsidR="00C72D7A" w:rsidRPr="00B764C3">
        <w:t xml:space="preserve">Strict scrutiny </w:t>
      </w:r>
      <w:r w:rsidR="00F11286" w:rsidRPr="00B764C3">
        <w:t>“</w:t>
      </w:r>
      <w:r w:rsidR="00C72D7A" w:rsidRPr="00B764C3">
        <w:t>requires</w:t>
      </w:r>
      <w:r w:rsidR="00F11286" w:rsidRPr="00B764C3">
        <w:t xml:space="preserve"> the Government to prove that the restriction ‘furthers a compelling interest and is narrowly tailored to achieve that interest.’”  </w:t>
      </w:r>
      <w:r w:rsidR="00F11286" w:rsidRPr="00B764C3">
        <w:rPr>
          <w:i/>
        </w:rPr>
        <w:t xml:space="preserve">Citizens United </w:t>
      </w:r>
      <w:proofErr w:type="gramStart"/>
      <w:r w:rsidR="00F11286" w:rsidRPr="00B764C3">
        <w:rPr>
          <w:i/>
        </w:rPr>
        <w:t>v.</w:t>
      </w:r>
      <w:proofErr w:type="gramEnd"/>
      <w:r w:rsidR="00F11286" w:rsidRPr="00B764C3">
        <w:rPr>
          <w:i/>
        </w:rPr>
        <w:t xml:space="preserve"> Fed. Election </w:t>
      </w:r>
      <w:proofErr w:type="spellStart"/>
      <w:r w:rsidR="00F11286" w:rsidRPr="00B764C3">
        <w:rPr>
          <w:i/>
        </w:rPr>
        <w:t>Comm’n</w:t>
      </w:r>
      <w:proofErr w:type="spellEnd"/>
      <w:r w:rsidR="00F11286" w:rsidRPr="00B764C3">
        <w:t xml:space="preserve">, 130 </w:t>
      </w:r>
      <w:proofErr w:type="spellStart"/>
      <w:r w:rsidR="00F11286" w:rsidRPr="00B764C3">
        <w:t>S.Ct</w:t>
      </w:r>
      <w:proofErr w:type="spellEnd"/>
      <w:r w:rsidR="00F11286" w:rsidRPr="00B764C3">
        <w:t>. 876, 882 (2010).</w:t>
      </w:r>
      <w:r w:rsidR="00C72D7A" w:rsidRPr="00B764C3">
        <w:t xml:space="preserve">  </w:t>
      </w:r>
      <w:r w:rsidR="000D1D84" w:rsidRPr="00B764C3">
        <w:t>Thus, differential treatment of in-state and out-of-state parents is permissible only if the distinction is narrowly tailored to a</w:t>
      </w:r>
      <w:r w:rsidR="0016592F" w:rsidRPr="00B764C3">
        <w:t>chieve a</w:t>
      </w:r>
      <w:r w:rsidR="000D1D84" w:rsidRPr="00B764C3">
        <w:t xml:space="preserve"> compelling state interest.</w:t>
      </w:r>
    </w:p>
    <w:p w:rsidR="00335A88" w:rsidRPr="00B764C3" w:rsidRDefault="005474C7" w:rsidP="00335A88">
      <w:pPr>
        <w:spacing w:line="480" w:lineRule="auto"/>
        <w:ind w:firstLine="720"/>
      </w:pPr>
      <w:r w:rsidRPr="00B764C3">
        <w:t>T</w:t>
      </w:r>
      <w:r w:rsidR="00D757EC" w:rsidRPr="00B764C3">
        <w:t>he government objective</w:t>
      </w:r>
      <w:r w:rsidRPr="00B764C3">
        <w:t xml:space="preserve"> </w:t>
      </w:r>
      <w:r w:rsidR="00CF5E11" w:rsidRPr="00B764C3">
        <w:t xml:space="preserve">here </w:t>
      </w:r>
      <w:r w:rsidR="00D757EC" w:rsidRPr="00B764C3">
        <w:t xml:space="preserve">is to protect the child.  This is a </w:t>
      </w:r>
      <w:r w:rsidR="000D1D84" w:rsidRPr="00B764C3">
        <w:t>compelling state</w:t>
      </w:r>
      <w:r w:rsidR="00D757EC" w:rsidRPr="00B764C3">
        <w:t xml:space="preserve"> </w:t>
      </w:r>
      <w:r w:rsidR="000D1D84" w:rsidRPr="00B764C3">
        <w:t>int</w:t>
      </w:r>
      <w:r w:rsidR="00D757EC" w:rsidRPr="00B764C3">
        <w:t>e</w:t>
      </w:r>
      <w:r w:rsidR="000D1D84" w:rsidRPr="00B764C3">
        <w:t>rest.  However,</w:t>
      </w:r>
      <w:r w:rsidR="00335A88" w:rsidRPr="00B764C3">
        <w:t xml:space="preserve"> in this case, the state interest in safeguarding the Child does not justify – nor does it even weigh in favor of - withholding custody.  Father is fit</w:t>
      </w:r>
      <w:r w:rsidR="00AD3509">
        <w:t>, there are no protective concerns with regard to Father</w:t>
      </w:r>
      <w:r w:rsidR="008A1318">
        <w:t>,</w:t>
      </w:r>
      <w:r w:rsidR="00335A88" w:rsidRPr="00B764C3">
        <w:t xml:space="preserve"> and denying him custody based on his out-of-state residence does not further the state’s interest.</w:t>
      </w:r>
    </w:p>
    <w:p w:rsidR="00335A88" w:rsidRPr="00B764C3" w:rsidRDefault="00335A88" w:rsidP="00335A88">
      <w:pPr>
        <w:spacing w:line="480" w:lineRule="auto"/>
        <w:ind w:firstLine="720"/>
      </w:pPr>
      <w:r w:rsidRPr="00B764C3">
        <w:t xml:space="preserve"> The distinction drawn between in-state and out-of-state parents is also not narrowly tailored to the state’s purpose of protecting children.</w:t>
      </w:r>
      <w:r w:rsidR="000D1D84" w:rsidRPr="00B764C3">
        <w:t xml:space="preserve"> </w:t>
      </w:r>
      <w:r w:rsidRPr="00B764C3">
        <w:t xml:space="preserve"> A child is at no greater or lesser risk of harm based on </w:t>
      </w:r>
      <w:r w:rsidR="008A1318">
        <w:t>a parent’s home</w:t>
      </w:r>
      <w:r w:rsidRPr="00B764C3">
        <w:t xml:space="preserve"> relative to a state line.  Thus</w:t>
      </w:r>
      <w:r w:rsidR="00AD3509">
        <w:t>,</w:t>
      </w:r>
      <w:r w:rsidRPr="00B764C3">
        <w:t xml:space="preserve"> the state of residence is not a relevant distinction, much less a narrowly tailored one.  Because of this, the distinction between in-state and out-of-state parents is constitutionally infirm.  In-state and out-of-state parents must be viewed as similarly situated for the purpose of an equal protection analysis.  </w:t>
      </w:r>
    </w:p>
    <w:p w:rsidR="00737A32" w:rsidRPr="00B764C3" w:rsidRDefault="00CC54BC" w:rsidP="0039119E">
      <w:pPr>
        <w:spacing w:line="480" w:lineRule="auto"/>
        <w:ind w:firstLine="720"/>
      </w:pPr>
      <w:r w:rsidRPr="00B764C3">
        <w:t>For in-state parents, no home study is required as a prerequisite to custody.  An in-state father with no allegations of unfitness would be</w:t>
      </w:r>
      <w:r w:rsidR="00A50D13" w:rsidRPr="00B764C3">
        <w:t xml:space="preserve"> able to gain custody from the C</w:t>
      </w:r>
      <w:r w:rsidRPr="00B764C3">
        <w:t>ourt</w:t>
      </w:r>
      <w:r w:rsidR="00335A88" w:rsidRPr="00B764C3">
        <w:t xml:space="preserve"> after a delay of not more than 72 hours</w:t>
      </w:r>
      <w:r w:rsidRPr="00B764C3">
        <w:t>.</w:t>
      </w:r>
      <w:r w:rsidR="00335A88" w:rsidRPr="00B764C3">
        <w:t xml:space="preserve">  </w:t>
      </w:r>
      <w:r w:rsidR="00335A88" w:rsidRPr="00B764C3">
        <w:rPr>
          <w:i/>
        </w:rPr>
        <w:t>See</w:t>
      </w:r>
      <w:r w:rsidR="00335A88" w:rsidRPr="00B764C3">
        <w:t xml:space="preserve"> G.L. c.</w:t>
      </w:r>
      <w:r w:rsidR="007E4043" w:rsidRPr="00B764C3">
        <w:t xml:space="preserve"> 119, § 24</w:t>
      </w:r>
      <w:r w:rsidR="008A1318">
        <w:t xml:space="preserve">; </w:t>
      </w:r>
      <w:r w:rsidR="009512F5" w:rsidRPr="00B764C3">
        <w:rPr>
          <w:i/>
        </w:rPr>
        <w:t>Lori</w:t>
      </w:r>
      <w:r w:rsidR="007E4043" w:rsidRPr="00B764C3">
        <w:t>, 444 Mass. at 321 (</w:t>
      </w:r>
      <w:r w:rsidR="008A1318">
        <w:t>holding that judge must hold hearing within 72 hours of removal</w:t>
      </w:r>
      <w:r w:rsidR="007E4043" w:rsidRPr="00B764C3">
        <w:t xml:space="preserve"> </w:t>
      </w:r>
      <w:r w:rsidR="008A1318">
        <w:t>of child from parents)</w:t>
      </w:r>
      <w:r w:rsidR="007E4043" w:rsidRPr="00B764C3">
        <w:t>.</w:t>
      </w:r>
      <w:r w:rsidR="009512F5" w:rsidRPr="00B764C3">
        <w:t xml:space="preserve"> </w:t>
      </w:r>
      <w:r w:rsidR="007E4043" w:rsidRPr="00B764C3">
        <w:t xml:space="preserve"> </w:t>
      </w:r>
      <w:r w:rsidRPr="00B764C3">
        <w:t xml:space="preserve">Under the Equal Protection Clause, a similarly situated out-of-state father must be able to obtain that same relief.  </w:t>
      </w:r>
    </w:p>
    <w:p w:rsidR="00041F33" w:rsidRPr="00B764C3" w:rsidRDefault="00041F33" w:rsidP="0039119E">
      <w:pPr>
        <w:spacing w:line="480" w:lineRule="auto"/>
        <w:ind w:firstLine="720"/>
      </w:pPr>
      <w:r w:rsidRPr="00B764C3">
        <w:t>Because the distinction drawn is irre</w:t>
      </w:r>
      <w:r w:rsidR="0014337C" w:rsidRPr="00B764C3">
        <w:t>levant to the state’s objective</w:t>
      </w:r>
      <w:r w:rsidRPr="00B764C3">
        <w:t xml:space="preserve"> and would result in dissimilar treatment of similarly situated individuals, application of the ICPC to parents would result in a violation of equal protection.</w:t>
      </w:r>
    </w:p>
    <w:p w:rsidR="00C973D5" w:rsidRPr="00B764C3" w:rsidRDefault="00E73FA0" w:rsidP="00716039">
      <w:pPr>
        <w:ind w:left="720" w:hanging="720"/>
        <w:rPr>
          <w:b/>
          <w:u w:val="single"/>
        </w:rPr>
      </w:pPr>
      <w:r w:rsidRPr="00B764C3">
        <w:rPr>
          <w:b/>
        </w:rPr>
        <w:t>5</w:t>
      </w:r>
      <w:r w:rsidR="00C973D5" w:rsidRPr="00B764C3">
        <w:rPr>
          <w:b/>
        </w:rPr>
        <w:t xml:space="preserve">. </w:t>
      </w:r>
      <w:r w:rsidR="008A1318">
        <w:rPr>
          <w:b/>
        </w:rPr>
        <w:tab/>
      </w:r>
      <w:r w:rsidR="00C973D5" w:rsidRPr="00B764C3">
        <w:rPr>
          <w:b/>
          <w:u w:val="single"/>
        </w:rPr>
        <w:t xml:space="preserve">The ICPC requirements as applied to Father violate </w:t>
      </w:r>
      <w:r w:rsidR="009977BF" w:rsidRPr="00B764C3">
        <w:rPr>
          <w:b/>
          <w:u w:val="single"/>
        </w:rPr>
        <w:t>his privileges and immunities as a citizen</w:t>
      </w:r>
      <w:r w:rsidR="00C973D5" w:rsidRPr="00B764C3">
        <w:rPr>
          <w:b/>
          <w:u w:val="single"/>
        </w:rPr>
        <w:t>.</w:t>
      </w:r>
    </w:p>
    <w:p w:rsidR="008A1318" w:rsidRDefault="008A1318" w:rsidP="00716039">
      <w:pPr>
        <w:ind w:firstLine="720"/>
      </w:pPr>
    </w:p>
    <w:p w:rsidR="00263FA0" w:rsidRPr="00B764C3" w:rsidRDefault="002B02F3" w:rsidP="00716039">
      <w:pPr>
        <w:spacing w:line="480" w:lineRule="auto"/>
        <w:ind w:firstLine="720"/>
      </w:pPr>
      <w:r w:rsidRPr="00B764C3">
        <w:t xml:space="preserve">Rights that arise from national citizenship are protected under the Privileges and Immunities Clause of the Fourteenth Amendment.  16B Am. </w:t>
      </w:r>
      <w:proofErr w:type="spellStart"/>
      <w:r w:rsidRPr="00B764C3">
        <w:t>Jur</w:t>
      </w:r>
      <w:proofErr w:type="spellEnd"/>
      <w:r w:rsidRPr="00B764C3">
        <w:t xml:space="preserve">. 2d </w:t>
      </w:r>
      <w:r w:rsidRPr="00B764C3">
        <w:rPr>
          <w:u w:val="single"/>
        </w:rPr>
        <w:t>Constitutional Law</w:t>
      </w:r>
      <w:r w:rsidRPr="00B764C3">
        <w:t xml:space="preserve"> § 815 (2010).  Because these rights are protected by the </w:t>
      </w:r>
      <w:r w:rsidR="00735A34">
        <w:t>U.S.</w:t>
      </w:r>
      <w:r w:rsidRPr="00B764C3">
        <w:t xml:space="preserve"> Constitution, they may not be abridged or impaired by states.  </w:t>
      </w:r>
      <w:r w:rsidRPr="00B764C3">
        <w:rPr>
          <w:i/>
        </w:rPr>
        <w:t xml:space="preserve">Id.  </w:t>
      </w:r>
      <w:r w:rsidR="002D4C90" w:rsidRPr="00B764C3">
        <w:t>Among the rights that the</w:t>
      </w:r>
      <w:r w:rsidRPr="00B764C3">
        <w:t xml:space="preserve"> Privileges and Immunities Clause</w:t>
      </w:r>
      <w:r w:rsidR="002D4C90" w:rsidRPr="00B764C3">
        <w:t xml:space="preserve"> has been recognized to cover is the right to </w:t>
      </w:r>
      <w:r w:rsidR="00AE1DE0" w:rsidRPr="00B764C3">
        <w:t xml:space="preserve">travel among the states and to </w:t>
      </w:r>
      <w:r w:rsidR="002D4C90" w:rsidRPr="00B764C3">
        <w:t>freely migrate from one state to another</w:t>
      </w:r>
      <w:r w:rsidRPr="00B764C3">
        <w:t xml:space="preserve">.  </w:t>
      </w:r>
      <w:r w:rsidRPr="00B764C3">
        <w:rPr>
          <w:i/>
        </w:rPr>
        <w:t>See Attorney Gen. of N.Y. v. Soto-Lopez</w:t>
      </w:r>
      <w:r w:rsidRPr="00B764C3">
        <w:t xml:space="preserve">, 476 U.S. 898, 902 (1986). </w:t>
      </w:r>
      <w:r w:rsidR="00771CC1" w:rsidRPr="00B764C3">
        <w:t xml:space="preserve"> This right has “unquestioned historic acceptance” </w:t>
      </w:r>
      <w:r w:rsidR="00771CC1" w:rsidRPr="00B764C3">
        <w:rPr>
          <w:rStyle w:val="apple-style-span"/>
        </w:rPr>
        <w:t xml:space="preserve">grounded in the federal Constitution.  </w:t>
      </w:r>
      <w:r w:rsidR="00771CC1" w:rsidRPr="00B764C3">
        <w:rPr>
          <w:rStyle w:val="apple-style-span"/>
          <w:i/>
        </w:rPr>
        <w:t>Id.</w:t>
      </w:r>
      <w:r w:rsidR="00771CC1" w:rsidRPr="00B764C3">
        <w:rPr>
          <w:rStyle w:val="apple-style-span"/>
        </w:rPr>
        <w:t xml:space="preserve">  </w:t>
      </w:r>
    </w:p>
    <w:p w:rsidR="00CA57E7" w:rsidRPr="00B764C3" w:rsidRDefault="00CA57E7" w:rsidP="0039119E">
      <w:pPr>
        <w:spacing w:line="480" w:lineRule="auto"/>
        <w:ind w:firstLine="720"/>
      </w:pPr>
      <w:r w:rsidRPr="00B764C3">
        <w:t xml:space="preserve">According to the U.S. Supreme Court, </w:t>
      </w:r>
      <w:r w:rsidR="00771CC1" w:rsidRPr="00B764C3">
        <w:t>a state law can infringe</w:t>
      </w:r>
      <w:r w:rsidRPr="00B764C3">
        <w:t xml:space="preserve"> a citizen’s right to travel</w:t>
      </w:r>
      <w:r w:rsidR="00771CC1" w:rsidRPr="00B764C3">
        <w:t xml:space="preserve"> in three ways</w:t>
      </w:r>
      <w:r w:rsidRPr="00B764C3">
        <w:t xml:space="preserve">: first, if it </w:t>
      </w:r>
      <w:r w:rsidR="00AE1DE0" w:rsidRPr="00B764C3">
        <w:t xml:space="preserve">actually </w:t>
      </w:r>
      <w:r w:rsidRPr="00B764C3">
        <w:t xml:space="preserve">deters travel across state lines; second, if its primary objective is to impede travel; or third, if it uses “any classification which serves to penalize the exercise of that right.”  </w:t>
      </w:r>
      <w:r w:rsidR="00AE1DE0" w:rsidRPr="00B764C3">
        <w:rPr>
          <w:i/>
        </w:rPr>
        <w:t>Id</w:t>
      </w:r>
      <w:r w:rsidRPr="00B764C3">
        <w:t>. at 903.</w:t>
      </w:r>
      <w:r w:rsidR="00C7424B" w:rsidRPr="00B764C3">
        <w:t xml:space="preserve">  </w:t>
      </w:r>
      <w:r w:rsidR="00771CC1" w:rsidRPr="00B764C3">
        <w:t xml:space="preserve">If the right to travel is infringed, the law will be subject to strict scrutiny.  </w:t>
      </w:r>
      <w:r w:rsidR="00771CC1" w:rsidRPr="00B764C3">
        <w:rPr>
          <w:i/>
        </w:rPr>
        <w:t>See Id</w:t>
      </w:r>
      <w:r w:rsidR="00771CC1" w:rsidRPr="00B764C3">
        <w:t>. at 906 (stating that</w:t>
      </w:r>
      <w:r w:rsidR="00735A34">
        <w:t>,</w:t>
      </w:r>
      <w:r w:rsidR="00771CC1" w:rsidRPr="00B764C3">
        <w:t xml:space="preserve"> to be upheld, a state law burdening the right to travel must be necessary to accomplish a compelling state interest).  </w:t>
      </w:r>
      <w:r w:rsidR="00C7424B" w:rsidRPr="00B764C3">
        <w:t>Actual deter</w:t>
      </w:r>
      <w:r w:rsidR="00771CC1" w:rsidRPr="00B764C3">
        <w:t>rence or the intent to deter is</w:t>
      </w:r>
      <w:r w:rsidR="00C7424B" w:rsidRPr="00B764C3">
        <w:t xml:space="preserve"> not required to establish a violation of the right to travel; </w:t>
      </w:r>
      <w:r w:rsidR="00B20D0B" w:rsidRPr="00B764C3">
        <w:t>establishing a classification that penalizes</w:t>
      </w:r>
      <w:r w:rsidR="00C7424B" w:rsidRPr="00B764C3">
        <w:t xml:space="preserve"> the exercise of the right is sufficient.</w:t>
      </w:r>
      <w:r w:rsidR="00292CF3" w:rsidRPr="00B764C3">
        <w:t xml:space="preserve">  </w:t>
      </w:r>
      <w:r w:rsidR="00292CF3" w:rsidRPr="00B764C3">
        <w:rPr>
          <w:i/>
        </w:rPr>
        <w:t>See Id.</w:t>
      </w:r>
      <w:r w:rsidR="00771CC1" w:rsidRPr="00B764C3">
        <w:t xml:space="preserve"> </w:t>
      </w:r>
      <w:r w:rsidR="00292CF3" w:rsidRPr="00B764C3">
        <w:t>(in</w:t>
      </w:r>
      <w:r w:rsidR="00771CC1" w:rsidRPr="00B764C3">
        <w:t>dicating that penalization is sufficient to trigger strict scrutiny</w:t>
      </w:r>
      <w:r w:rsidR="00593342" w:rsidRPr="00B764C3">
        <w:t>).</w:t>
      </w:r>
    </w:p>
    <w:p w:rsidR="00723D40" w:rsidRPr="00B764C3" w:rsidRDefault="00BC1FDD" w:rsidP="00D92D24">
      <w:pPr>
        <w:spacing w:line="480" w:lineRule="auto"/>
        <w:ind w:firstLine="720"/>
        <w:rPr>
          <w:rStyle w:val="apple-style-span"/>
        </w:rPr>
      </w:pPr>
      <w:r w:rsidRPr="00B764C3">
        <w:rPr>
          <w:rStyle w:val="apple-style-span"/>
        </w:rPr>
        <w:t>Requiring Father</w:t>
      </w:r>
      <w:r w:rsidR="00DF177B" w:rsidRPr="00B764C3">
        <w:rPr>
          <w:rStyle w:val="apple-style-span"/>
        </w:rPr>
        <w:t xml:space="preserve"> to pass a home study before gaining custody of </w:t>
      </w:r>
      <w:r w:rsidR="004E5321" w:rsidRPr="00B764C3">
        <w:rPr>
          <w:rStyle w:val="apple-style-span"/>
        </w:rPr>
        <w:t xml:space="preserve">the </w:t>
      </w:r>
      <w:r w:rsidR="00EA1B39" w:rsidRPr="00B764C3">
        <w:rPr>
          <w:rStyle w:val="apple-style-span"/>
        </w:rPr>
        <w:t>Child would violate his</w:t>
      </w:r>
      <w:r w:rsidR="00DF177B" w:rsidRPr="00B764C3">
        <w:rPr>
          <w:rStyle w:val="apple-style-span"/>
        </w:rPr>
        <w:t xml:space="preserve"> r</w:t>
      </w:r>
      <w:r w:rsidRPr="00B764C3">
        <w:rPr>
          <w:rStyle w:val="apple-style-span"/>
        </w:rPr>
        <w:t>ight</w:t>
      </w:r>
      <w:r w:rsidR="00EA1B39" w:rsidRPr="00B764C3">
        <w:rPr>
          <w:rStyle w:val="apple-style-span"/>
        </w:rPr>
        <w:t xml:space="preserve"> to migrate.  It would penalize hi</w:t>
      </w:r>
      <w:r w:rsidRPr="00B764C3">
        <w:rPr>
          <w:rStyle w:val="apple-style-span"/>
        </w:rPr>
        <w:t>s exercise</w:t>
      </w:r>
      <w:r w:rsidR="00EA1B39" w:rsidRPr="00B764C3">
        <w:rPr>
          <w:rStyle w:val="apple-style-span"/>
        </w:rPr>
        <w:t xml:space="preserve"> of the right as a result of his classification as an out-of-state parent</w:t>
      </w:r>
      <w:r w:rsidRPr="00B764C3">
        <w:rPr>
          <w:rStyle w:val="apple-style-span"/>
        </w:rPr>
        <w:t>.</w:t>
      </w:r>
      <w:r w:rsidR="00DF177B" w:rsidRPr="00B764C3">
        <w:rPr>
          <w:rStyle w:val="apple-style-span"/>
        </w:rPr>
        <w:t xml:space="preserve"> </w:t>
      </w:r>
      <w:r w:rsidRPr="00B764C3">
        <w:rPr>
          <w:rStyle w:val="apple-style-span"/>
        </w:rPr>
        <w:t xml:space="preserve"> If Father h</w:t>
      </w:r>
      <w:r w:rsidR="00DF177B" w:rsidRPr="00B764C3">
        <w:rPr>
          <w:rStyle w:val="apple-style-span"/>
        </w:rPr>
        <w:t>ad remained in Massachusetts</w:t>
      </w:r>
      <w:r w:rsidRPr="00B764C3">
        <w:rPr>
          <w:rStyle w:val="apple-style-span"/>
        </w:rPr>
        <w:t>, he would not be subject to the ICPC and would be able to gain custody of the Child within 72 hours</w:t>
      </w:r>
      <w:r w:rsidR="00DF177B" w:rsidRPr="00B764C3">
        <w:rPr>
          <w:rStyle w:val="apple-style-span"/>
        </w:rPr>
        <w:t>.</w:t>
      </w:r>
      <w:r w:rsidRPr="00B764C3">
        <w:rPr>
          <w:rStyle w:val="apple-style-span"/>
        </w:rPr>
        <w:t xml:space="preserve">  </w:t>
      </w:r>
      <w:r w:rsidRPr="00B764C3">
        <w:rPr>
          <w:rStyle w:val="apple-style-span"/>
          <w:i/>
        </w:rPr>
        <w:t xml:space="preserve">See </w:t>
      </w:r>
      <w:r w:rsidR="00735A34">
        <w:t>G.</w:t>
      </w:r>
      <w:r w:rsidRPr="00B764C3">
        <w:t>L. c. 119, § 24</w:t>
      </w:r>
      <w:r w:rsidR="00735A34">
        <w:t>;</w:t>
      </w:r>
      <w:r w:rsidR="00735A34" w:rsidRPr="00735A34">
        <w:rPr>
          <w:i/>
        </w:rPr>
        <w:t xml:space="preserve"> </w:t>
      </w:r>
      <w:r w:rsidR="00735A34" w:rsidRPr="00B764C3">
        <w:rPr>
          <w:i/>
        </w:rPr>
        <w:t>Lori</w:t>
      </w:r>
      <w:r w:rsidR="00735A34" w:rsidRPr="00B764C3">
        <w:t>, 444 Mass. at 321</w:t>
      </w:r>
      <w:r w:rsidRPr="00B764C3">
        <w:t>.</w:t>
      </w:r>
      <w:r w:rsidR="00DF177B" w:rsidRPr="00B764C3">
        <w:rPr>
          <w:rStyle w:val="apple-style-span"/>
        </w:rPr>
        <w:t xml:space="preserve">  </w:t>
      </w:r>
      <w:r w:rsidR="00D92D24" w:rsidRPr="00B764C3">
        <w:rPr>
          <w:rStyle w:val="apple-style-span"/>
        </w:rPr>
        <w:t>In light of this, it is clear that a</w:t>
      </w:r>
      <w:r w:rsidR="004606F0" w:rsidRPr="00B764C3">
        <w:rPr>
          <w:rStyle w:val="apple-style-span"/>
        </w:rPr>
        <w:t xml:space="preserve"> month</w:t>
      </w:r>
      <w:r w:rsidR="00AD3509">
        <w:rPr>
          <w:rStyle w:val="apple-style-span"/>
        </w:rPr>
        <w:t>s</w:t>
      </w:r>
      <w:r w:rsidR="00735A34">
        <w:rPr>
          <w:rStyle w:val="apple-style-span"/>
        </w:rPr>
        <w:t>-</w:t>
      </w:r>
      <w:r w:rsidR="00AD3509">
        <w:rPr>
          <w:rStyle w:val="apple-style-span"/>
        </w:rPr>
        <w:t>long</w:t>
      </w:r>
      <w:r w:rsidR="004606F0" w:rsidRPr="00B764C3">
        <w:rPr>
          <w:rStyle w:val="apple-style-span"/>
        </w:rPr>
        <w:t xml:space="preserve"> deprivation </w:t>
      </w:r>
      <w:r w:rsidR="00735A34">
        <w:rPr>
          <w:rStyle w:val="apple-style-span"/>
        </w:rPr>
        <w:t xml:space="preserve">(to await completion of a home study) </w:t>
      </w:r>
      <w:r w:rsidR="00D92D24" w:rsidRPr="00B764C3">
        <w:rPr>
          <w:rStyle w:val="apple-style-span"/>
        </w:rPr>
        <w:t>penalizes</w:t>
      </w:r>
      <w:r w:rsidR="004606F0" w:rsidRPr="00B764C3">
        <w:rPr>
          <w:rStyle w:val="apple-style-span"/>
        </w:rPr>
        <w:t xml:space="preserve"> migration to another state.  Thus, the scheme is subject to strict scrutiny.</w:t>
      </w:r>
      <w:r w:rsidRPr="00B764C3">
        <w:rPr>
          <w:rStyle w:val="apple-style-span"/>
        </w:rPr>
        <w:t xml:space="preserve"> </w:t>
      </w:r>
      <w:r w:rsidR="004606F0" w:rsidRPr="00B764C3">
        <w:rPr>
          <w:rStyle w:val="apple-style-span"/>
        </w:rPr>
        <w:t xml:space="preserve"> </w:t>
      </w:r>
      <w:r w:rsidR="004606F0" w:rsidRPr="00B764C3">
        <w:rPr>
          <w:i/>
        </w:rPr>
        <w:t>Soto-Lopez</w:t>
      </w:r>
      <w:r w:rsidR="004606F0" w:rsidRPr="00B764C3">
        <w:t>, 476 U.S. at 906.</w:t>
      </w:r>
      <w:r w:rsidR="00EA1B39" w:rsidRPr="00B764C3">
        <w:t xml:space="preserve">  As explained in Part 4</w:t>
      </w:r>
      <w:r w:rsidR="00D92D24" w:rsidRPr="00B764C3">
        <w:t>, above, application of the ICPC to parents cannot withstand strict scrutiny.</w:t>
      </w:r>
      <w:r w:rsidR="00D92D24" w:rsidRPr="00B764C3">
        <w:rPr>
          <w:rStyle w:val="apple-style-span"/>
        </w:rPr>
        <w:t xml:space="preserve">  </w:t>
      </w:r>
      <w:r w:rsidR="00F70470" w:rsidRPr="00B764C3">
        <w:rPr>
          <w:rStyle w:val="apple-style-span"/>
        </w:rPr>
        <w:t>Thus</w:t>
      </w:r>
      <w:r w:rsidR="00AD3509">
        <w:rPr>
          <w:rStyle w:val="apple-style-span"/>
        </w:rPr>
        <w:t>,</w:t>
      </w:r>
      <w:r w:rsidR="00F70470" w:rsidRPr="00B764C3">
        <w:rPr>
          <w:rStyle w:val="apple-style-span"/>
        </w:rPr>
        <w:t xml:space="preserve"> the imposition of the ICPC requirements is unconstitutional on this basis as well.</w:t>
      </w:r>
    </w:p>
    <w:p w:rsidR="00E73FA0" w:rsidRPr="00B764C3" w:rsidRDefault="00E73FA0" w:rsidP="00716039">
      <w:pPr>
        <w:ind w:left="720" w:hanging="720"/>
        <w:rPr>
          <w:b/>
          <w:color w:val="000000"/>
        </w:rPr>
      </w:pPr>
      <w:r w:rsidRPr="00B764C3">
        <w:rPr>
          <w:b/>
          <w:color w:val="000000"/>
        </w:rPr>
        <w:t xml:space="preserve">6. </w:t>
      </w:r>
      <w:r w:rsidR="00735A34">
        <w:rPr>
          <w:b/>
          <w:color w:val="000000"/>
        </w:rPr>
        <w:tab/>
      </w:r>
      <w:r w:rsidRPr="00B764C3">
        <w:rPr>
          <w:b/>
          <w:color w:val="000000"/>
          <w:u w:val="single"/>
        </w:rPr>
        <w:t xml:space="preserve">Father’s right of access to the courts </w:t>
      </w:r>
      <w:r w:rsidR="005E0B0F">
        <w:rPr>
          <w:b/>
          <w:color w:val="000000"/>
          <w:u w:val="single"/>
        </w:rPr>
        <w:t xml:space="preserve">(and his right to due process) </w:t>
      </w:r>
      <w:r w:rsidRPr="00B764C3">
        <w:rPr>
          <w:b/>
          <w:color w:val="000000"/>
          <w:u w:val="single"/>
        </w:rPr>
        <w:t>is violated if the court cannot grant him custody</w:t>
      </w:r>
      <w:r w:rsidR="005E0B0F">
        <w:rPr>
          <w:b/>
          <w:color w:val="000000"/>
          <w:u w:val="single"/>
        </w:rPr>
        <w:t xml:space="preserve"> because it has de facto delegated that role to executive branch administrators</w:t>
      </w:r>
      <w:r w:rsidRPr="00B764C3">
        <w:rPr>
          <w:b/>
          <w:color w:val="000000"/>
          <w:u w:val="single"/>
        </w:rPr>
        <w:t>.</w:t>
      </w:r>
    </w:p>
    <w:p w:rsidR="00735A34" w:rsidRDefault="00735A34" w:rsidP="00716039">
      <w:pPr>
        <w:ind w:firstLine="720"/>
      </w:pPr>
    </w:p>
    <w:p w:rsidR="00E73FA0" w:rsidRDefault="00E73FA0" w:rsidP="00E73FA0">
      <w:pPr>
        <w:spacing w:line="480" w:lineRule="auto"/>
        <w:ind w:firstLine="720"/>
      </w:pPr>
      <w:r w:rsidRPr="00B764C3">
        <w:t xml:space="preserve">Under the ICPC regulations, this Court is required to await the </w:t>
      </w:r>
      <w:r w:rsidR="00AD3509">
        <w:t>Florida</w:t>
      </w:r>
      <w:r w:rsidRPr="00B764C3">
        <w:t xml:space="preserve"> caseworker’s assessment of Father’s home and be bound by it.  This compl</w:t>
      </w:r>
      <w:r w:rsidR="009E72B8" w:rsidRPr="00B764C3">
        <w:t>ete transfer of power from the C</w:t>
      </w:r>
      <w:r w:rsidRPr="00B764C3">
        <w:t>ourt to a</w:t>
      </w:r>
      <w:r w:rsidR="00735A34">
        <w:t xml:space="preserve">n out-of-state </w:t>
      </w:r>
      <w:r w:rsidRPr="00B764C3">
        <w:t xml:space="preserve">executive agency violates </w:t>
      </w:r>
      <w:r w:rsidR="00735A34">
        <w:t xml:space="preserve">both Father’s due process rights and </w:t>
      </w:r>
      <w:r w:rsidRPr="00B764C3">
        <w:t xml:space="preserve">Father’s right of access to the courts.  </w:t>
      </w:r>
    </w:p>
    <w:p w:rsidR="00735A34" w:rsidRPr="00B764C3" w:rsidRDefault="00735A34" w:rsidP="00735A34">
      <w:pPr>
        <w:spacing w:line="480" w:lineRule="auto"/>
        <w:ind w:firstLine="720"/>
      </w:pPr>
      <w:r>
        <w:t xml:space="preserve">Due process guarantees Father the right to be heard at a meaningful time and in a meaningful manner.  </w:t>
      </w:r>
      <w:r w:rsidR="005E0B0F" w:rsidRPr="00716039">
        <w:rPr>
          <w:i/>
        </w:rPr>
        <w:t>See</w:t>
      </w:r>
      <w:r w:rsidR="005E0B0F">
        <w:t xml:space="preserve"> </w:t>
      </w:r>
      <w:r w:rsidR="005E0B0F" w:rsidRPr="00716039">
        <w:rPr>
          <w:i/>
        </w:rPr>
        <w:t>Armstrong v. Manzo</w:t>
      </w:r>
      <w:r w:rsidR="005E0B0F">
        <w:t xml:space="preserve">, 380 U.S. 545, 552 (1965).  </w:t>
      </w:r>
      <w:r>
        <w:t xml:space="preserve">If a court cannot give him custody, and </w:t>
      </w:r>
      <w:r w:rsidR="005E0B0F">
        <w:t>his rights are</w:t>
      </w:r>
      <w:r>
        <w:t xml:space="preserve"> at the mercy of an executive agency in another state, he has no right to be meaningfully heard in the juvenile court.  </w:t>
      </w:r>
      <w:r w:rsidRPr="00716039">
        <w:rPr>
          <w:i/>
        </w:rPr>
        <w:t>See</w:t>
      </w:r>
      <w:r>
        <w:t xml:space="preserve"> </w:t>
      </w:r>
      <w:proofErr w:type="gramStart"/>
      <w:r w:rsidRPr="00583FE3">
        <w:rPr>
          <w:i/>
          <w:color w:val="000000"/>
        </w:rPr>
        <w:t>In</w:t>
      </w:r>
      <w:proofErr w:type="gramEnd"/>
      <w:r w:rsidRPr="00583FE3">
        <w:rPr>
          <w:i/>
          <w:color w:val="000000"/>
        </w:rPr>
        <w:t xml:space="preserve"> re R.S.</w:t>
      </w:r>
      <w:r w:rsidRPr="00583FE3">
        <w:rPr>
          <w:color w:val="000000"/>
        </w:rPr>
        <w:t>, 470 Md. 380, 235 A.3d 914, 9</w:t>
      </w:r>
      <w:r>
        <w:rPr>
          <w:color w:val="000000"/>
        </w:rPr>
        <w:t>34-35</w:t>
      </w:r>
      <w:r w:rsidRPr="00583FE3">
        <w:rPr>
          <w:color w:val="000000"/>
        </w:rPr>
        <w:t xml:space="preserve"> (2020)</w:t>
      </w:r>
      <w:r>
        <w:rPr>
          <w:color w:val="000000"/>
        </w:rPr>
        <w:t xml:space="preserve"> (parent deprived of due process where court deferred to out-of-state agency to decide custody under ICPC); </w:t>
      </w:r>
      <w:r w:rsidRPr="00583FE3">
        <w:rPr>
          <w:i/>
          <w:color w:val="000000"/>
        </w:rPr>
        <w:t>In re Emmanuel B.</w:t>
      </w:r>
      <w:r w:rsidRPr="00583FE3">
        <w:rPr>
          <w:color w:val="000000"/>
        </w:rPr>
        <w:t xml:space="preserve">, </w:t>
      </w:r>
      <w:r w:rsidRPr="00583FE3">
        <w:rPr>
          <w:color w:val="212121"/>
        </w:rPr>
        <w:t xml:space="preserve">175 A.D.3d 49, </w:t>
      </w:r>
      <w:r>
        <w:rPr>
          <w:color w:val="212121"/>
        </w:rPr>
        <w:t>60</w:t>
      </w:r>
      <w:r w:rsidRPr="00583FE3">
        <w:rPr>
          <w:color w:val="212121"/>
        </w:rPr>
        <w:t>, 106 N.Y.S.3d 58 (2019)</w:t>
      </w:r>
      <w:r w:rsidR="005E0B0F">
        <w:rPr>
          <w:color w:val="212121"/>
        </w:rPr>
        <w:t xml:space="preserve"> (de facto delegation of court’s role in determining custody to executive branch bureaucrat deprives parent of due process).</w:t>
      </w:r>
    </w:p>
    <w:p w:rsidR="00E73FA0" w:rsidRPr="00B764C3" w:rsidRDefault="005E0B0F" w:rsidP="00E73FA0">
      <w:pPr>
        <w:spacing w:line="480" w:lineRule="auto"/>
        <w:ind w:firstLine="720"/>
      </w:pPr>
      <w:r>
        <w:t xml:space="preserve">In addition, Father has no right to access to the courts if the courts refuse to address his custodial status.  </w:t>
      </w:r>
      <w:r w:rsidR="00E73FA0" w:rsidRPr="00B764C3">
        <w:t xml:space="preserve">The right of access to the courts rests on the nature of the individual interest at stake and the availability of redress for any injuries.  16B Am. </w:t>
      </w:r>
      <w:proofErr w:type="spellStart"/>
      <w:r w:rsidR="00E73FA0" w:rsidRPr="00B764C3">
        <w:t>Jur</w:t>
      </w:r>
      <w:proofErr w:type="spellEnd"/>
      <w:r w:rsidR="00E73FA0" w:rsidRPr="00B764C3">
        <w:t xml:space="preserve">. 2d </w:t>
      </w:r>
      <w:r w:rsidR="00E73FA0" w:rsidRPr="00B764C3">
        <w:rPr>
          <w:u w:val="single"/>
        </w:rPr>
        <w:t>Constitutional Law</w:t>
      </w:r>
      <w:r w:rsidR="00E73FA0" w:rsidRPr="00B764C3">
        <w:t xml:space="preserve"> § 667 (2010).  Here, the interest implicated is Father’s fundamental liberty interest in the care and custody of the Child.  </w:t>
      </w:r>
      <w:r w:rsidR="00E73FA0" w:rsidRPr="00B764C3">
        <w:rPr>
          <w:i/>
        </w:rPr>
        <w:t>See</w:t>
      </w:r>
      <w:r w:rsidR="00E73FA0" w:rsidRPr="00B764C3">
        <w:t xml:space="preserve"> </w:t>
      </w:r>
      <w:proofErr w:type="spellStart"/>
      <w:r w:rsidR="00E73FA0" w:rsidRPr="00B764C3">
        <w:rPr>
          <w:i/>
        </w:rPr>
        <w:t>Troxel</w:t>
      </w:r>
      <w:proofErr w:type="spellEnd"/>
      <w:r w:rsidR="00E73FA0" w:rsidRPr="00B764C3">
        <w:t xml:space="preserve">, </w:t>
      </w:r>
      <w:r w:rsidR="00E73FA0" w:rsidRPr="00B764C3">
        <w:rPr>
          <w:color w:val="000000"/>
        </w:rPr>
        <w:t>530 U.S</w:t>
      </w:r>
      <w:r w:rsidR="00E73FA0" w:rsidRPr="00B764C3">
        <w:t xml:space="preserve">. at 65.  </w:t>
      </w:r>
      <w:r>
        <w:t xml:space="preserve">If this Court will not </w:t>
      </w:r>
      <w:r w:rsidR="00E73FA0" w:rsidRPr="00B764C3">
        <w:t xml:space="preserve">protect </w:t>
      </w:r>
      <w:r>
        <w:t xml:space="preserve">Father’s </w:t>
      </w:r>
      <w:r w:rsidR="00E73FA0" w:rsidRPr="00B764C3">
        <w:t>interest</w:t>
      </w:r>
      <w:r>
        <w:t xml:space="preserve">, he has </w:t>
      </w:r>
      <w:r w:rsidR="00E73FA0" w:rsidRPr="00B764C3">
        <w:t xml:space="preserve">no other forum </w:t>
      </w:r>
      <w:r>
        <w:t>for redress</w:t>
      </w:r>
      <w:r w:rsidR="00695911" w:rsidRPr="00B764C3">
        <w:t>.  This C</w:t>
      </w:r>
      <w:r w:rsidR="00E73FA0" w:rsidRPr="00B764C3">
        <w:t xml:space="preserve">ourt cannot accelerate the </w:t>
      </w:r>
      <w:r>
        <w:t>Florida home study</w:t>
      </w:r>
      <w:r w:rsidRPr="00B764C3">
        <w:t xml:space="preserve"> </w:t>
      </w:r>
      <w:r w:rsidR="00E73FA0" w:rsidRPr="00B764C3">
        <w:t xml:space="preserve">process.  And if the </w:t>
      </w:r>
      <w:r w:rsidR="00AD3509">
        <w:t>Florida</w:t>
      </w:r>
      <w:r w:rsidR="00E73FA0" w:rsidRPr="00B764C3">
        <w:t xml:space="preserve"> social worker denies the home study</w:t>
      </w:r>
      <w:r>
        <w:t xml:space="preserve"> – not enough rooms or square footage in the home, no smoke detectors, etc. – Father </w:t>
      </w:r>
      <w:r w:rsidR="00E73FA0" w:rsidRPr="00B764C3">
        <w:t xml:space="preserve">must undertake a lengthy administrative review in </w:t>
      </w:r>
      <w:r w:rsidR="00AD3509">
        <w:t>Florida</w:t>
      </w:r>
      <w:r w:rsidR="00E73FA0" w:rsidRPr="00B764C3">
        <w:t>, assuming such review is available.  He cannot obtain review of the so</w:t>
      </w:r>
      <w:r w:rsidR="00695911" w:rsidRPr="00B764C3">
        <w:t>cial worker’s decision in this Court even though this Co</w:t>
      </w:r>
      <w:r w:rsidR="00E73FA0" w:rsidRPr="00B764C3">
        <w:t xml:space="preserve">urt has jurisdiction over the Child.  </w:t>
      </w:r>
    </w:p>
    <w:p w:rsidR="00E73FA0" w:rsidRPr="00B764C3" w:rsidRDefault="00E73FA0" w:rsidP="00716039">
      <w:pPr>
        <w:spacing w:line="480" w:lineRule="auto"/>
      </w:pPr>
      <w:r w:rsidRPr="00B764C3">
        <w:t>Thus, the right to obtain redress has been eliminated.</w:t>
      </w:r>
    </w:p>
    <w:p w:rsidR="00E73FA0" w:rsidRPr="00B764C3" w:rsidRDefault="00E73FA0" w:rsidP="00716039">
      <w:pPr>
        <w:ind w:left="720" w:hanging="720"/>
        <w:rPr>
          <w:b/>
          <w:u w:val="single"/>
        </w:rPr>
      </w:pPr>
      <w:r w:rsidRPr="00B764C3">
        <w:rPr>
          <w:b/>
        </w:rPr>
        <w:t xml:space="preserve">7. </w:t>
      </w:r>
      <w:r w:rsidR="005E0B0F">
        <w:rPr>
          <w:b/>
        </w:rPr>
        <w:tab/>
      </w:r>
      <w:r w:rsidRPr="00B764C3">
        <w:rPr>
          <w:b/>
          <w:u w:val="single"/>
        </w:rPr>
        <w:t>Removing judicial authority over the Child’s placement violates the principle of separation of powers.</w:t>
      </w:r>
    </w:p>
    <w:p w:rsidR="005E0B0F" w:rsidRDefault="005E0B0F" w:rsidP="00716039">
      <w:pPr>
        <w:ind w:firstLine="720"/>
      </w:pPr>
    </w:p>
    <w:p w:rsidR="00E73FA0" w:rsidRPr="00B764C3" w:rsidRDefault="00E73FA0" w:rsidP="00E73FA0">
      <w:pPr>
        <w:spacing w:line="480" w:lineRule="auto"/>
        <w:ind w:firstLine="720"/>
      </w:pPr>
      <w:r w:rsidRPr="00B764C3">
        <w:t xml:space="preserve">The Massachusetts courts have ultimate authority to determine </w:t>
      </w:r>
      <w:r w:rsidR="006E2EC0">
        <w:t xml:space="preserve">immediate risk to a child, </w:t>
      </w:r>
      <w:r w:rsidRPr="00B764C3">
        <w:t xml:space="preserve">parental </w:t>
      </w:r>
      <w:r w:rsidR="006E2EC0">
        <w:t>un</w:t>
      </w:r>
      <w:r w:rsidRPr="00B764C3">
        <w:t>fitness</w:t>
      </w:r>
      <w:r w:rsidR="006E2EC0">
        <w:t>,</w:t>
      </w:r>
      <w:r w:rsidRPr="00B764C3">
        <w:t xml:space="preserve"> and the best interests of the child.  This is clearly evidenced in the </w:t>
      </w:r>
      <w:r w:rsidR="006E2EC0">
        <w:t>statutes</w:t>
      </w:r>
      <w:r w:rsidR="006E2EC0" w:rsidRPr="00B764C3">
        <w:t xml:space="preserve"> </w:t>
      </w:r>
      <w:r w:rsidRPr="00B764C3">
        <w:t xml:space="preserve">governing each stage of the child protection process.  G.L. c. 119, §§ 24, 25, 26.  It is the court’s </w:t>
      </w:r>
      <w:r w:rsidR="006E2EC0">
        <w:t xml:space="preserve">– and only the court’s – duty </w:t>
      </w:r>
      <w:r w:rsidRPr="00B764C3">
        <w:t xml:space="preserve">to make such determinations.  </w:t>
      </w:r>
      <w:r w:rsidR="006E2EC0" w:rsidRPr="00716039">
        <w:rPr>
          <w:i/>
        </w:rPr>
        <w:t>See, e.g.</w:t>
      </w:r>
      <w:r w:rsidR="006E2EC0">
        <w:t xml:space="preserve">, </w:t>
      </w:r>
      <w:r w:rsidRPr="00B764C3">
        <w:rPr>
          <w:i/>
        </w:rPr>
        <w:t>Adoption of Dora</w:t>
      </w:r>
      <w:r w:rsidRPr="00B764C3">
        <w:t>, 52 Mass.</w:t>
      </w:r>
      <w:r w:rsidR="006E2EC0">
        <w:t xml:space="preserve"> </w:t>
      </w:r>
      <w:r w:rsidRPr="00B764C3">
        <w:t>App.</w:t>
      </w:r>
      <w:r w:rsidR="006E2EC0">
        <w:t xml:space="preserve"> </w:t>
      </w:r>
      <w:r w:rsidRPr="00B764C3">
        <w:t>Ct. 472</w:t>
      </w:r>
      <w:r w:rsidR="006E2EC0">
        <w:t>, 474-76</w:t>
      </w:r>
      <w:r w:rsidRPr="00B764C3">
        <w:t xml:space="preserve"> (2001)</w:t>
      </w:r>
      <w:r w:rsidR="006E2EC0">
        <w:t xml:space="preserve"> (remanding for judicial determination of choice of plan; judge’s deferral to agency to choose was improper because court had duty to decide).  </w:t>
      </w:r>
    </w:p>
    <w:p w:rsidR="00E73FA0" w:rsidRPr="00B764C3" w:rsidRDefault="00E73FA0" w:rsidP="00E73FA0">
      <w:pPr>
        <w:spacing w:line="480" w:lineRule="auto"/>
        <w:ind w:firstLine="720"/>
      </w:pPr>
      <w:r w:rsidRPr="00B764C3">
        <w:t xml:space="preserve">To fulfill this duty, the court must have authority to </w:t>
      </w:r>
      <w:r w:rsidR="00155B84">
        <w:t xml:space="preserve">make custody orders </w:t>
      </w:r>
      <w:r w:rsidRPr="00B764C3">
        <w:t xml:space="preserve">in accordance with its determinations.  </w:t>
      </w:r>
      <w:r w:rsidR="00696DF0" w:rsidRPr="00B764C3">
        <w:t xml:space="preserve">Powers “essential to the function of the judicial department, to the maintenance of its authority, or to its capacity to decide cases” are “inherent powers” of the judiciary.  </w:t>
      </w:r>
      <w:proofErr w:type="spellStart"/>
      <w:r w:rsidR="00696DF0" w:rsidRPr="00B764C3">
        <w:rPr>
          <w:i/>
        </w:rPr>
        <w:t>Querubin</w:t>
      </w:r>
      <w:proofErr w:type="spellEnd"/>
      <w:r w:rsidR="00696DF0" w:rsidRPr="00B764C3">
        <w:rPr>
          <w:i/>
        </w:rPr>
        <w:t xml:space="preserve"> v. Commonwealth</w:t>
      </w:r>
      <w:r w:rsidR="00696DF0" w:rsidRPr="00B764C3">
        <w:t xml:space="preserve">, 440 Mass. 108, 114 (2003).  </w:t>
      </w:r>
      <w:r w:rsidR="00A17A01" w:rsidRPr="00B764C3">
        <w:t xml:space="preserve">Courts have “wide inherent power to do justice and to adopt procedure to that end.”  </w:t>
      </w:r>
      <w:r w:rsidR="00A17A01" w:rsidRPr="00B764C3">
        <w:rPr>
          <w:i/>
        </w:rPr>
        <w:t>Quincy Trust Co. v. Taylor</w:t>
      </w:r>
      <w:r w:rsidR="00A17A01" w:rsidRPr="00B764C3">
        <w:t xml:space="preserve">, 317 Mass. 195, 198 (1944).  </w:t>
      </w:r>
      <w:r w:rsidR="00696DF0" w:rsidRPr="00B764C3">
        <w:t xml:space="preserve">The Massachusetts Declaration of Rights protects such inherent </w:t>
      </w:r>
      <w:r w:rsidR="004A7A0E" w:rsidRPr="00B764C3">
        <w:t>authority</w:t>
      </w:r>
      <w:r w:rsidR="00696DF0" w:rsidRPr="00B764C3">
        <w:t xml:space="preserve">.  </w:t>
      </w:r>
      <w:r w:rsidR="00696DF0" w:rsidRPr="00B764C3">
        <w:rPr>
          <w:i/>
        </w:rPr>
        <w:t>Commonwealth v. Fremont</w:t>
      </w:r>
      <w:r w:rsidR="004A7A0E" w:rsidRPr="00B764C3">
        <w:rPr>
          <w:i/>
        </w:rPr>
        <w:t xml:space="preserve"> Inv. &amp; Loan</w:t>
      </w:r>
      <w:r w:rsidR="004A7A0E" w:rsidRPr="00B764C3">
        <w:t xml:space="preserve">, 459 Mass. 209, 213 (2011). </w:t>
      </w:r>
      <w:r w:rsidR="00696DF0" w:rsidRPr="00B764C3">
        <w:t xml:space="preserve"> </w:t>
      </w:r>
      <w:r w:rsidRPr="00B764C3">
        <w:t xml:space="preserve">Applying the ICPC to custody orders to parents encroaches upon this established judicial authority.  If the ICPC applied “when a fit parent is available but an ICPC home study is negative, all discretion is transferred to an administrative agency in a sister state.”  </w:t>
      </w:r>
      <w:r w:rsidR="00155B84" w:rsidRPr="00583FE3">
        <w:rPr>
          <w:i/>
          <w:color w:val="000000"/>
        </w:rPr>
        <w:t>In re Dependency of D.F.-M.</w:t>
      </w:r>
      <w:r w:rsidR="00155B84" w:rsidRPr="00583FE3">
        <w:rPr>
          <w:color w:val="000000"/>
        </w:rPr>
        <w:t>, 236 P.3d 961, 96</w:t>
      </w:r>
      <w:r w:rsidR="00155B84">
        <w:rPr>
          <w:color w:val="000000"/>
        </w:rPr>
        <w:t>7</w:t>
      </w:r>
      <w:r w:rsidR="00155B84" w:rsidRPr="00583FE3">
        <w:rPr>
          <w:color w:val="000000"/>
        </w:rPr>
        <w:t xml:space="preserve"> (Wash. Ct. App. 2010)</w:t>
      </w:r>
      <w:r w:rsidRPr="00B764C3">
        <w:t xml:space="preserve">.  </w:t>
      </w:r>
      <w:r w:rsidR="00D67DA5" w:rsidRPr="00B764C3">
        <w:t>The parent is unable to challenge the caseworker’s determin</w:t>
      </w:r>
      <w:r w:rsidR="00F23A73" w:rsidRPr="00B764C3">
        <w:t xml:space="preserve">ation in court.  </w:t>
      </w:r>
      <w:proofErr w:type="spellStart"/>
      <w:r w:rsidR="00155B84">
        <w:t>Vivek</w:t>
      </w:r>
      <w:proofErr w:type="spellEnd"/>
      <w:r w:rsidR="00155B84">
        <w:t xml:space="preserve"> </w:t>
      </w:r>
      <w:proofErr w:type="spellStart"/>
      <w:r w:rsidR="00F23A73" w:rsidRPr="00B764C3">
        <w:t>Sankaran</w:t>
      </w:r>
      <w:proofErr w:type="spellEnd"/>
      <w:r w:rsidR="00F23A73" w:rsidRPr="00B764C3">
        <w:t xml:space="preserve">, </w:t>
      </w:r>
      <w:r w:rsidR="00F23A73" w:rsidRPr="00716039">
        <w:rPr>
          <w:i/>
        </w:rPr>
        <w:t>Out of State and Out of Luck</w:t>
      </w:r>
      <w:r w:rsidR="00155B84" w:rsidRPr="00716039">
        <w:rPr>
          <w:i/>
        </w:rPr>
        <w:t>: The Treatment of Non-Custodial Parents under the Interstate Compact on the Placement of Children</w:t>
      </w:r>
      <w:r w:rsidR="00155B84">
        <w:t xml:space="preserve">, 25 Yale L. &amp; </w:t>
      </w:r>
      <w:proofErr w:type="spellStart"/>
      <w:r w:rsidR="00155B84">
        <w:t>Pol’y</w:t>
      </w:r>
      <w:proofErr w:type="spellEnd"/>
      <w:r w:rsidR="00155B84">
        <w:t xml:space="preserve"> Rev. 63,</w:t>
      </w:r>
      <w:r w:rsidR="00D67DA5" w:rsidRPr="00B764C3">
        <w:t xml:space="preserve"> 84</w:t>
      </w:r>
      <w:r w:rsidR="00155B84">
        <w:t xml:space="preserve"> (2006)</w:t>
      </w:r>
      <w:r w:rsidR="00D67DA5" w:rsidRPr="00B764C3">
        <w:t xml:space="preserve">.  </w:t>
      </w:r>
      <w:r w:rsidRPr="00B764C3">
        <w:t xml:space="preserve">In such a situation, the ICPC may become “an obstacle to the court’s ability to act in the best interests of the child.”  </w:t>
      </w:r>
      <w:r w:rsidR="00D67DA5" w:rsidRPr="00B764C3">
        <w:rPr>
          <w:i/>
        </w:rPr>
        <w:t>In re Dependency of D.F.-M.</w:t>
      </w:r>
      <w:r w:rsidR="00D67DA5" w:rsidRPr="00B764C3">
        <w:t>, 236 P.3d at 967</w:t>
      </w:r>
      <w:r w:rsidRPr="00B764C3">
        <w:t xml:space="preserve">.  </w:t>
      </w:r>
      <w:r w:rsidR="00A17A01" w:rsidRPr="00B764C3">
        <w:t>Its capacity to decide cases and do justice would be severely restricted, in violation of its inherent authority.</w:t>
      </w:r>
    </w:p>
    <w:p w:rsidR="00E73FA0" w:rsidRPr="00B764C3" w:rsidRDefault="00E73FA0" w:rsidP="00E73FA0">
      <w:pPr>
        <w:spacing w:line="480" w:lineRule="auto"/>
        <w:ind w:firstLine="720"/>
      </w:pPr>
      <w:r w:rsidRPr="00B764C3">
        <w:t xml:space="preserve">The state’s freedom in allocating governmental functions is limited.  The Supreme Judicial Court has acknowledged that Article 30 of the Massachusetts Declaration of Rights calls for the rigid </w:t>
      </w:r>
      <w:r w:rsidR="00B211A6" w:rsidRPr="00B764C3">
        <w:t>separation</w:t>
      </w:r>
      <w:r w:rsidRPr="00B764C3">
        <w:t xml:space="preserve"> of powers</w:t>
      </w:r>
      <w:r w:rsidR="00155B84">
        <w:t>.</w:t>
      </w:r>
      <w:r w:rsidRPr="00B764C3">
        <w:t xml:space="preserve">  </w:t>
      </w:r>
      <w:r w:rsidRPr="00B764C3">
        <w:rPr>
          <w:i/>
        </w:rPr>
        <w:t>Opinion of the Justices</w:t>
      </w:r>
      <w:r w:rsidRPr="00B764C3">
        <w:t>, 365 Mass. 639, 640-641 (1974).  The SJC also noted that, while “[s]</w:t>
      </w:r>
      <w:proofErr w:type="spellStart"/>
      <w:r w:rsidRPr="00B764C3">
        <w:t>ome</w:t>
      </w:r>
      <w:proofErr w:type="spellEnd"/>
      <w:r w:rsidRPr="00B764C3">
        <w:t xml:space="preserve"> flexibility in allocating functions whose classification would be at best ambiguous is no doubt desirable,” it is permissible only “so long as it ‘creates no interference by... (one) department with the power of... (another) department.’”  </w:t>
      </w:r>
      <w:r w:rsidRPr="00B764C3">
        <w:rPr>
          <w:i/>
        </w:rPr>
        <w:t>Id</w:t>
      </w:r>
      <w:r w:rsidRPr="00B764C3">
        <w:t xml:space="preserve">. at 642 (quoting </w:t>
      </w:r>
      <w:r w:rsidRPr="00B764C3">
        <w:rPr>
          <w:i/>
        </w:rPr>
        <w:t>Opinion of the Justices</w:t>
      </w:r>
      <w:r w:rsidRPr="00B764C3">
        <w:t xml:space="preserve">, 208 Mass. 610, 613 (1911)).  Here, allocation of a subset of </w:t>
      </w:r>
      <w:r w:rsidR="00155B84">
        <w:t>custody</w:t>
      </w:r>
      <w:r w:rsidR="00155B84" w:rsidRPr="00B764C3">
        <w:t xml:space="preserve"> </w:t>
      </w:r>
      <w:r w:rsidRPr="00B764C3">
        <w:t>determinations to an administrative agency of another state interferes with judicial power.</w:t>
      </w:r>
    </w:p>
    <w:p w:rsidR="00E73FA0" w:rsidRPr="00B764C3" w:rsidRDefault="00E73FA0" w:rsidP="00E73FA0">
      <w:pPr>
        <w:spacing w:line="480" w:lineRule="auto"/>
        <w:ind w:firstLine="720"/>
      </w:pPr>
      <w:r w:rsidRPr="00B764C3">
        <w:t xml:space="preserve">This encroachment on judicial power would be mitigated if courts could override the ICPC requirements on a case-by-case basis.  A judicial override is necessary to avoid a constitutional violation, where a legislative act transfers to an administrative agency a power that courts have held under the established separation of powers scheme.  </w:t>
      </w:r>
      <w:r w:rsidRPr="00B764C3">
        <w:rPr>
          <w:i/>
        </w:rPr>
        <w:t>See</w:t>
      </w:r>
      <w:r w:rsidRPr="00B764C3">
        <w:t xml:space="preserve"> </w:t>
      </w:r>
      <w:r w:rsidRPr="00B764C3">
        <w:rPr>
          <w:i/>
        </w:rPr>
        <w:t>Maas v. Olive</w:t>
      </w:r>
      <w:r w:rsidRPr="00B764C3">
        <w:t xml:space="preserve">, 992 So.2d 196, 202-203 (Fla. 2008) (finding that while a statute setting compensation caps for court-appointed attorneys was not unconstitutional on its face, judges must be able to award higher compensation, as needed, to avoid unconstitutional infringement of the court’s inherent authority to ensure adequate representation).  Courts must therefore be able to override an agency decision in order to avoid constitutional infirmities.  </w:t>
      </w:r>
    </w:p>
    <w:p w:rsidR="00E73FA0" w:rsidRPr="00B764C3" w:rsidRDefault="00E73FA0" w:rsidP="00E73FA0">
      <w:pPr>
        <w:spacing w:line="480" w:lineRule="auto"/>
        <w:ind w:firstLine="720"/>
        <w:rPr>
          <w:rStyle w:val="apple-style-span"/>
        </w:rPr>
      </w:pPr>
      <w:r w:rsidRPr="00B764C3">
        <w:t>With regard to the ICPC, this means the Court must be empowered to make discretionary decisions to bypass the home study requirement of the Compact in cases like Father’s.  This ability is lacking under the ICPC, thus creating a constitutional infirmity.</w:t>
      </w:r>
    </w:p>
    <w:p w:rsidR="001B3E01" w:rsidRPr="00B764C3" w:rsidRDefault="00BE4AE3" w:rsidP="00AA598A">
      <w:pPr>
        <w:spacing w:line="480" w:lineRule="auto"/>
        <w:rPr>
          <w:rStyle w:val="apple-style-span"/>
          <w:b/>
          <w:u w:val="single"/>
        </w:rPr>
      </w:pPr>
      <w:r w:rsidRPr="00B764C3">
        <w:rPr>
          <w:rStyle w:val="apple-style-span"/>
          <w:b/>
        </w:rPr>
        <w:t>8</w:t>
      </w:r>
      <w:r w:rsidR="001B3E01" w:rsidRPr="00B764C3">
        <w:rPr>
          <w:rStyle w:val="apple-style-span"/>
          <w:b/>
        </w:rPr>
        <w:t xml:space="preserve">. </w:t>
      </w:r>
      <w:r w:rsidR="00AA598A">
        <w:rPr>
          <w:rStyle w:val="apple-style-span"/>
          <w:b/>
        </w:rPr>
        <w:tab/>
      </w:r>
      <w:r w:rsidR="00FC3A58" w:rsidRPr="00B764C3">
        <w:rPr>
          <w:rStyle w:val="apple-style-span"/>
          <w:b/>
          <w:u w:val="single"/>
        </w:rPr>
        <w:t>Given these serious const</w:t>
      </w:r>
      <w:r w:rsidR="00263FA0" w:rsidRPr="00B764C3">
        <w:rPr>
          <w:rStyle w:val="apple-style-span"/>
          <w:b/>
          <w:u w:val="single"/>
        </w:rPr>
        <w:t>itutional issues, the ICPC can</w:t>
      </w:r>
      <w:r w:rsidR="00FC3A58" w:rsidRPr="00B764C3">
        <w:rPr>
          <w:rStyle w:val="apple-style-span"/>
          <w:b/>
          <w:u w:val="single"/>
        </w:rPr>
        <w:t>not apply to parents</w:t>
      </w:r>
      <w:r w:rsidR="001B3E01" w:rsidRPr="00B764C3">
        <w:rPr>
          <w:rStyle w:val="apple-style-span"/>
          <w:b/>
          <w:u w:val="single"/>
        </w:rPr>
        <w:t xml:space="preserve">. </w:t>
      </w:r>
    </w:p>
    <w:p w:rsidR="007C2FC2" w:rsidRPr="00B764C3" w:rsidRDefault="00FA7831" w:rsidP="0039119E">
      <w:pPr>
        <w:spacing w:line="480" w:lineRule="auto"/>
        <w:ind w:firstLine="720"/>
      </w:pPr>
      <w:r w:rsidRPr="00B764C3">
        <w:t>When reasonably possible, the</w:t>
      </w:r>
      <w:r w:rsidR="00D8710E" w:rsidRPr="00B764C3">
        <w:t xml:space="preserve"> court </w:t>
      </w:r>
      <w:r w:rsidRPr="00B764C3">
        <w:t>has a duty to</w:t>
      </w:r>
      <w:r w:rsidR="00D8710E" w:rsidRPr="00B764C3">
        <w:t xml:space="preserve"> </w:t>
      </w:r>
      <w:r w:rsidRPr="00B764C3">
        <w:t>interpret statutes in a way that avoids constitutional questions</w:t>
      </w:r>
      <w:r w:rsidR="00552FE4" w:rsidRPr="00B764C3">
        <w:t>.</w:t>
      </w:r>
      <w:r w:rsidRPr="00B764C3">
        <w:t xml:space="preserve">  </w:t>
      </w:r>
      <w:r w:rsidRPr="00B764C3">
        <w:rPr>
          <w:i/>
        </w:rPr>
        <w:t>E.g.</w:t>
      </w:r>
      <w:r w:rsidRPr="00B764C3">
        <w:t xml:space="preserve">, </w:t>
      </w:r>
      <w:r w:rsidRPr="00B764C3">
        <w:rPr>
          <w:i/>
        </w:rPr>
        <w:t>Beeler v. Downey</w:t>
      </w:r>
      <w:r w:rsidRPr="00B764C3">
        <w:t>, 387 Mass. 609, 613 (1982);</w:t>
      </w:r>
      <w:r w:rsidR="00D8710E" w:rsidRPr="00B764C3">
        <w:t xml:space="preserve"> </w:t>
      </w:r>
      <w:r w:rsidR="00D8710E" w:rsidRPr="00B764C3">
        <w:rPr>
          <w:i/>
        </w:rPr>
        <w:t>Harris v. U.S.</w:t>
      </w:r>
      <w:r w:rsidR="00D8710E" w:rsidRPr="00B764C3">
        <w:t>, 536 U.S. 545, 555 (200</w:t>
      </w:r>
      <w:r w:rsidR="00FC3A58" w:rsidRPr="00B764C3">
        <w:t xml:space="preserve">2).  </w:t>
      </w:r>
      <w:r w:rsidR="007C2FC2" w:rsidRPr="00B764C3">
        <w:t>As shown</w:t>
      </w:r>
      <w:r w:rsidR="00263FA0" w:rsidRPr="00B764C3">
        <w:t xml:space="preserve"> above</w:t>
      </w:r>
      <w:r w:rsidR="007C2FC2" w:rsidRPr="00B764C3">
        <w:t xml:space="preserve">, application of the ICPC to parents conflicts with parents’ fundamental </w:t>
      </w:r>
      <w:r w:rsidR="00263FA0" w:rsidRPr="00B764C3">
        <w:t xml:space="preserve">due process </w:t>
      </w:r>
      <w:r w:rsidR="007C2FC2" w:rsidRPr="00B764C3">
        <w:t xml:space="preserve">rights, </w:t>
      </w:r>
      <w:r w:rsidR="00AA598A">
        <w:t xml:space="preserve">equal protections rights, right to travel, and </w:t>
      </w:r>
      <w:r w:rsidR="007C2FC2" w:rsidRPr="00B764C3">
        <w:t>right of access to courts.</w:t>
      </w:r>
      <w:r w:rsidR="00E902C5" w:rsidRPr="00B764C3">
        <w:t xml:space="preserve">  </w:t>
      </w:r>
      <w:r w:rsidR="00374BE6" w:rsidRPr="00B764C3">
        <w:t xml:space="preserve">It also violates the separation of powers between the branches of government.  </w:t>
      </w:r>
      <w:r w:rsidR="00263FA0" w:rsidRPr="00B764C3">
        <w:t>This Court must therefore interpret the</w:t>
      </w:r>
      <w:r w:rsidR="007C2FC2" w:rsidRPr="00B764C3">
        <w:t xml:space="preserve"> ICPC</w:t>
      </w:r>
      <w:r w:rsidR="005127B5" w:rsidRPr="00B764C3">
        <w:t xml:space="preserve"> to avoid</w:t>
      </w:r>
      <w:r w:rsidR="007C2FC2" w:rsidRPr="00B764C3">
        <w:t xml:space="preserve"> the</w:t>
      </w:r>
      <w:r w:rsidR="005127B5" w:rsidRPr="00B764C3">
        <w:t>se</w:t>
      </w:r>
      <w:r w:rsidR="007C2FC2" w:rsidRPr="00B764C3">
        <w:t xml:space="preserve"> constitutional problems</w:t>
      </w:r>
      <w:r w:rsidR="005127B5" w:rsidRPr="00B764C3">
        <w:t>.</w:t>
      </w:r>
      <w:r w:rsidR="007C2FC2" w:rsidRPr="00B764C3">
        <w:t xml:space="preserve"> </w:t>
      </w:r>
      <w:r w:rsidR="005127B5" w:rsidRPr="00B764C3">
        <w:t xml:space="preserve"> It can do so by looking at the plain </w:t>
      </w:r>
      <w:r w:rsidR="00AA598A">
        <w:t xml:space="preserve">language and plain </w:t>
      </w:r>
      <w:r w:rsidR="005127B5" w:rsidRPr="00B764C3">
        <w:t xml:space="preserve">meaning of the ICPC, which limits its scope to placements for foster care or preliminary to adoption.  </w:t>
      </w:r>
      <w:r w:rsidR="00AA598A">
        <w:t>Custody order to</w:t>
      </w:r>
      <w:r w:rsidR="005127B5" w:rsidRPr="00B764C3">
        <w:t xml:space="preserve"> </w:t>
      </w:r>
      <w:r w:rsidR="00627FEF" w:rsidRPr="00B764C3">
        <w:t xml:space="preserve">out-of-state </w:t>
      </w:r>
      <w:r w:rsidR="005127B5" w:rsidRPr="00B764C3">
        <w:t xml:space="preserve">parents </w:t>
      </w:r>
      <w:r w:rsidR="00AA598A">
        <w:t>are</w:t>
      </w:r>
      <w:r w:rsidR="00AA598A" w:rsidRPr="00B764C3">
        <w:t xml:space="preserve"> </w:t>
      </w:r>
      <w:r w:rsidR="005127B5" w:rsidRPr="00B764C3">
        <w:t>not</w:t>
      </w:r>
      <w:r w:rsidR="00627FEF" w:rsidRPr="00B764C3">
        <w:t>, and should not be,</w:t>
      </w:r>
      <w:r w:rsidR="005127B5" w:rsidRPr="00B764C3">
        <w:t xml:space="preserve"> covered.  This construction </w:t>
      </w:r>
      <w:r w:rsidRPr="00B764C3">
        <w:t xml:space="preserve">is reasonable and </w:t>
      </w:r>
      <w:r w:rsidR="005127B5" w:rsidRPr="00B764C3">
        <w:t xml:space="preserve">avoids the constitutional problems discussed </w:t>
      </w:r>
      <w:r w:rsidRPr="00B764C3">
        <w:t>above</w:t>
      </w:r>
      <w:r w:rsidR="005127B5" w:rsidRPr="00B764C3">
        <w:t>.</w:t>
      </w:r>
    </w:p>
    <w:p w:rsidR="00117DD8" w:rsidRPr="00B764C3" w:rsidRDefault="00117DD8" w:rsidP="001C31B6">
      <w:pPr>
        <w:spacing w:line="480" w:lineRule="auto"/>
        <w:jc w:val="center"/>
        <w:outlineLvl w:val="0"/>
        <w:rPr>
          <w:color w:val="000000"/>
        </w:rPr>
      </w:pPr>
      <w:r w:rsidRPr="00B764C3">
        <w:rPr>
          <w:b/>
          <w:bCs/>
          <w:color w:val="000000"/>
        </w:rPr>
        <w:t>CONCLUSION</w:t>
      </w:r>
    </w:p>
    <w:p w:rsidR="00117DD8" w:rsidRPr="00B764C3" w:rsidRDefault="00117DD8" w:rsidP="00C9110D">
      <w:pPr>
        <w:spacing w:line="480" w:lineRule="auto"/>
        <w:ind w:firstLine="720"/>
        <w:rPr>
          <w:color w:val="000000"/>
        </w:rPr>
      </w:pPr>
      <w:r w:rsidRPr="00B764C3">
        <w:rPr>
          <w:color w:val="000000"/>
        </w:rPr>
        <w:t> </w:t>
      </w:r>
      <w:r w:rsidR="002A345C" w:rsidRPr="00B764C3">
        <w:rPr>
          <w:color w:val="000000"/>
        </w:rPr>
        <w:t xml:space="preserve">For the foregoing reasons, the </w:t>
      </w:r>
      <w:r w:rsidR="00AA598A">
        <w:rPr>
          <w:color w:val="000000"/>
        </w:rPr>
        <w:t xml:space="preserve">ICPC and its </w:t>
      </w:r>
      <w:r w:rsidR="003A134C" w:rsidRPr="00B764C3">
        <w:rPr>
          <w:color w:val="000000"/>
        </w:rPr>
        <w:t xml:space="preserve">home study requirement </w:t>
      </w:r>
      <w:r w:rsidR="00AA598A">
        <w:rPr>
          <w:color w:val="000000"/>
        </w:rPr>
        <w:t>do</w:t>
      </w:r>
      <w:r w:rsidR="000B229C" w:rsidRPr="00B764C3">
        <w:rPr>
          <w:color w:val="000000"/>
        </w:rPr>
        <w:t xml:space="preserve"> not apply</w:t>
      </w:r>
      <w:r w:rsidR="002A345C" w:rsidRPr="00B764C3">
        <w:rPr>
          <w:color w:val="000000"/>
        </w:rPr>
        <w:t xml:space="preserve"> to </w:t>
      </w:r>
      <w:r w:rsidR="000B229C" w:rsidRPr="00B764C3">
        <w:rPr>
          <w:color w:val="000000"/>
        </w:rPr>
        <w:t>Father, and this Court can order custody to him directly and immediately</w:t>
      </w:r>
      <w:r w:rsidR="002A345C" w:rsidRPr="00B764C3">
        <w:rPr>
          <w:color w:val="000000"/>
        </w:rPr>
        <w:t>.</w:t>
      </w:r>
    </w:p>
    <w:p w:rsidR="00117DD8" w:rsidRPr="00B764C3" w:rsidRDefault="00117DD8" w:rsidP="0039119E">
      <w:pPr>
        <w:spacing w:line="480" w:lineRule="auto"/>
        <w:ind w:firstLine="720"/>
        <w:rPr>
          <w:color w:val="000000"/>
        </w:rPr>
      </w:pPr>
      <w:r w:rsidRPr="00B764C3">
        <w:rPr>
          <w:b/>
          <w:bCs/>
          <w:color w:val="000000"/>
        </w:rPr>
        <w:t>WHEREFORE</w:t>
      </w:r>
      <w:r w:rsidRPr="00B764C3">
        <w:rPr>
          <w:color w:val="000000"/>
        </w:rPr>
        <w:t>, Father respectfully requests that this Court grant him:</w:t>
      </w:r>
    </w:p>
    <w:p w:rsidR="00117DD8" w:rsidRPr="00B764C3" w:rsidRDefault="00117DD8" w:rsidP="0039119E">
      <w:pPr>
        <w:spacing w:line="480" w:lineRule="auto"/>
        <w:ind w:firstLine="720"/>
        <w:rPr>
          <w:color w:val="000000"/>
        </w:rPr>
      </w:pPr>
      <w:r w:rsidRPr="00B764C3">
        <w:rPr>
          <w:color w:val="000000"/>
        </w:rPr>
        <w:t xml:space="preserve">(a)  custody immediately without application of the </w:t>
      </w:r>
      <w:r w:rsidR="00AA598A">
        <w:rPr>
          <w:color w:val="000000"/>
        </w:rPr>
        <w:t>ICPC</w:t>
      </w:r>
      <w:r w:rsidR="00AA598A" w:rsidRPr="00B764C3">
        <w:rPr>
          <w:color w:val="000000"/>
        </w:rPr>
        <w:t xml:space="preserve"> </w:t>
      </w:r>
      <w:r w:rsidRPr="00B764C3">
        <w:rPr>
          <w:color w:val="000000"/>
        </w:rPr>
        <w:t>and without the requirement of a home study; and</w:t>
      </w:r>
    </w:p>
    <w:p w:rsidR="00117DD8" w:rsidRPr="00B764C3" w:rsidRDefault="00117DD8" w:rsidP="0039119E">
      <w:pPr>
        <w:spacing w:line="480" w:lineRule="auto"/>
        <w:ind w:firstLine="720"/>
        <w:rPr>
          <w:color w:val="000000"/>
        </w:rPr>
      </w:pPr>
      <w:r w:rsidRPr="00B764C3">
        <w:rPr>
          <w:color w:val="000000"/>
        </w:rPr>
        <w:t>(b)  such other and further relief as is just and proper under the circumstances.</w:t>
      </w:r>
    </w:p>
    <w:p w:rsidR="00117DD8" w:rsidRPr="00B764C3" w:rsidRDefault="00117DD8" w:rsidP="00716039">
      <w:pPr>
        <w:spacing w:line="480" w:lineRule="auto"/>
        <w:rPr>
          <w:color w:val="000000"/>
        </w:rPr>
      </w:pPr>
      <w:r w:rsidRPr="00B764C3">
        <w:rPr>
          <w:color w:val="000000"/>
        </w:rPr>
        <w:t xml:space="preserve">DATED: </w:t>
      </w:r>
    </w:p>
    <w:p w:rsidR="00117DD8" w:rsidRPr="00B764C3" w:rsidRDefault="00117DD8" w:rsidP="00117DD8">
      <w:pPr>
        <w:rPr>
          <w:color w:val="000000"/>
        </w:rPr>
      </w:pPr>
      <w:r w:rsidRPr="00B764C3">
        <w:rPr>
          <w:color w:val="000000"/>
        </w:rPr>
        <w:t> </w:t>
      </w:r>
    </w:p>
    <w:p w:rsidR="00117DD8" w:rsidRPr="00650024" w:rsidRDefault="00650024" w:rsidP="001C31B6">
      <w:pPr>
        <w:ind w:left="2880"/>
        <w:outlineLvl w:val="0"/>
        <w:rPr>
          <w:color w:val="000000"/>
        </w:rPr>
      </w:pPr>
      <w:r>
        <w:rPr>
          <w:color w:val="000000"/>
        </w:rPr>
        <w:t xml:space="preserve">Respectfully Submitted, </w:t>
      </w:r>
    </w:p>
    <w:p w:rsidR="002A730C" w:rsidRDefault="00716039" w:rsidP="000528DD">
      <w:pPr>
        <w:pStyle w:val="NormalWeb"/>
        <w:spacing w:before="0" w:beforeAutospacing="0" w:after="0" w:afterAutospacing="0"/>
        <w:ind w:left="2880" w:right="360"/>
        <w:rPr>
          <w:color w:val="000000"/>
        </w:rPr>
      </w:pPr>
      <w:r>
        <w:rPr>
          <w:color w:val="000000"/>
        </w:rPr>
        <w:br w:type="page"/>
      </w:r>
    </w:p>
    <w:p w:rsidR="002A730C" w:rsidRDefault="002A730C" w:rsidP="000528DD">
      <w:pPr>
        <w:pStyle w:val="NormalWeb"/>
        <w:spacing w:before="0" w:beforeAutospacing="0" w:after="0" w:afterAutospacing="0"/>
        <w:ind w:left="2880" w:right="360"/>
        <w:rPr>
          <w:color w:val="000000"/>
        </w:rPr>
      </w:pPr>
    </w:p>
    <w:p w:rsidR="002A730C" w:rsidRPr="002A730C" w:rsidRDefault="002A730C" w:rsidP="002A730C">
      <w:pPr>
        <w:jc w:val="center"/>
        <w:outlineLvl w:val="0"/>
      </w:pPr>
      <w:r w:rsidRPr="002A730C">
        <w:rPr>
          <w:u w:val="single"/>
        </w:rPr>
        <w:t>Certificate of Service</w:t>
      </w:r>
      <w:r>
        <w:rPr>
          <w:u w:val="single"/>
        </w:rPr>
        <w:t xml:space="preserve"> and Notice of Hearing</w:t>
      </w:r>
    </w:p>
    <w:p w:rsidR="002A730C" w:rsidRPr="002A730C" w:rsidRDefault="002A730C" w:rsidP="002A730C"/>
    <w:p w:rsidR="002A730C" w:rsidRDefault="002A730C" w:rsidP="002A730C">
      <w:pPr>
        <w:ind w:firstLine="720"/>
      </w:pPr>
      <w:proofErr w:type="gramStart"/>
      <w:r w:rsidRPr="002A730C">
        <w:t xml:space="preserve">I, </w:t>
      </w:r>
      <w:r w:rsidR="00716039">
        <w:t xml:space="preserve">  </w:t>
      </w:r>
      <w:proofErr w:type="gramEnd"/>
      <w:r w:rsidR="00716039">
        <w:t xml:space="preserve">                      </w:t>
      </w:r>
      <w:r w:rsidRPr="002A730C">
        <w:t xml:space="preserve">, hereby certify that I caused the within Motion </w:t>
      </w:r>
      <w:r>
        <w:t>for Immediate Custody to Father</w:t>
      </w:r>
      <w:r w:rsidRPr="002A730C">
        <w:t xml:space="preserve"> to be served upon counsel for the parties in this matter via email with permission.</w:t>
      </w:r>
    </w:p>
    <w:p w:rsidR="002A730C" w:rsidRDefault="002A730C" w:rsidP="002A730C">
      <w:pPr>
        <w:ind w:firstLine="720"/>
      </w:pPr>
    </w:p>
    <w:p w:rsidR="002A730C" w:rsidRPr="002A730C" w:rsidRDefault="002A730C" w:rsidP="002A730C">
      <w:pPr>
        <w:ind w:firstLine="720"/>
      </w:pPr>
      <w:r>
        <w:t xml:space="preserve">I further notify the parties that this matter has been marked for hearing on </w:t>
      </w:r>
      <w:r w:rsidR="00716039">
        <w:t>___________</w:t>
      </w:r>
      <w:r>
        <w:t xml:space="preserve">at </w:t>
      </w:r>
      <w:r w:rsidR="00716039">
        <w:t>___________</w:t>
      </w:r>
      <w:r>
        <w:t xml:space="preserve"> in the </w:t>
      </w:r>
      <w:r w:rsidR="00716039">
        <w:t>___________</w:t>
      </w:r>
      <w:r>
        <w:t>Juvenile Court.</w:t>
      </w:r>
    </w:p>
    <w:p w:rsidR="002A730C" w:rsidRPr="002A730C" w:rsidRDefault="002A730C" w:rsidP="002A730C"/>
    <w:p w:rsidR="002A730C" w:rsidRPr="002A730C" w:rsidRDefault="002A730C" w:rsidP="002A730C">
      <w:pPr>
        <w:ind w:firstLine="720"/>
      </w:pPr>
      <w:r w:rsidRPr="002A730C">
        <w:tab/>
      </w:r>
      <w:r w:rsidRPr="002A730C">
        <w:tab/>
      </w:r>
      <w:r w:rsidRPr="002A730C">
        <w:tab/>
      </w:r>
    </w:p>
    <w:p w:rsidR="002A730C" w:rsidRPr="002A730C" w:rsidRDefault="002A730C" w:rsidP="002A730C">
      <w:pPr>
        <w:jc w:val="both"/>
      </w:pPr>
      <w:r w:rsidRPr="002A730C">
        <w:tab/>
        <w:t xml:space="preserve">Signed under the pains and penalties of perjury on </w:t>
      </w:r>
      <w:proofErr w:type="spellStart"/>
      <w:r w:rsidRPr="002A730C">
        <w:t>this</w:t>
      </w:r>
      <w:r>
        <w:t>_____</w:t>
      </w:r>
      <w:r w:rsidRPr="002A730C">
        <w:t>day</w:t>
      </w:r>
      <w:proofErr w:type="spellEnd"/>
      <w:r w:rsidRPr="002A730C">
        <w:t xml:space="preserve"> of </w:t>
      </w:r>
      <w:r w:rsidR="00716039">
        <w:t>___________,</w:t>
      </w:r>
      <w:r w:rsidRPr="002A730C">
        <w:t xml:space="preserve"> 2021. </w:t>
      </w:r>
    </w:p>
    <w:p w:rsidR="002A730C" w:rsidRPr="002A730C" w:rsidRDefault="002A730C" w:rsidP="002A730C">
      <w:pPr>
        <w:jc w:val="both"/>
      </w:pPr>
    </w:p>
    <w:p w:rsidR="002A730C" w:rsidRPr="002A730C" w:rsidRDefault="002A730C" w:rsidP="002A730C">
      <w:pPr>
        <w:ind w:firstLine="720"/>
      </w:pPr>
    </w:p>
    <w:p w:rsidR="002A730C" w:rsidRPr="002A730C" w:rsidRDefault="002A730C" w:rsidP="002A730C"/>
    <w:p w:rsidR="002A730C" w:rsidRPr="002A730C" w:rsidRDefault="002A730C" w:rsidP="002A730C">
      <w:pPr>
        <w:ind w:left="4320" w:firstLine="720"/>
        <w:rPr>
          <w:u w:val="single"/>
        </w:rPr>
      </w:pPr>
      <w:r>
        <w:rPr>
          <w:u w:val="single"/>
        </w:rPr>
        <w:t>______________________</w:t>
      </w:r>
    </w:p>
    <w:p w:rsidR="002A730C" w:rsidRPr="002A730C" w:rsidRDefault="002A730C" w:rsidP="002A730C">
      <w:r w:rsidRPr="002A730C">
        <w:tab/>
      </w:r>
      <w:r w:rsidRPr="002A730C">
        <w:tab/>
      </w:r>
      <w:r w:rsidRPr="002A730C">
        <w:tab/>
      </w:r>
      <w:r w:rsidRPr="002A730C">
        <w:tab/>
      </w:r>
      <w:r w:rsidRPr="002A730C">
        <w:tab/>
      </w:r>
      <w:r w:rsidRPr="002A730C">
        <w:tab/>
      </w:r>
      <w:r w:rsidRPr="002A730C">
        <w:tab/>
      </w:r>
    </w:p>
    <w:p w:rsidR="002A730C" w:rsidRPr="00B764C3" w:rsidRDefault="002A730C" w:rsidP="000528DD">
      <w:pPr>
        <w:pStyle w:val="NormalWeb"/>
        <w:spacing w:before="0" w:beforeAutospacing="0" w:after="0" w:afterAutospacing="0"/>
        <w:ind w:left="2880" w:right="360"/>
        <w:rPr>
          <w:color w:val="000000"/>
        </w:rPr>
      </w:pPr>
    </w:p>
    <w:sectPr w:rsidR="002A730C" w:rsidRPr="00B764C3" w:rsidSect="00716039">
      <w:footerReference w:type="even" r:id="rId8"/>
      <w:footerReference w:type="default" r:id="rId9"/>
      <w:pgSz w:w="12240" w:h="15840"/>
      <w:pgMar w:top="1440" w:right="189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905" w:rsidRDefault="00E51905">
      <w:r>
        <w:separator/>
      </w:r>
    </w:p>
  </w:endnote>
  <w:endnote w:type="continuationSeparator" w:id="0">
    <w:p w:rsidR="00E51905" w:rsidRDefault="00E5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AF2" w:rsidRDefault="00B42AF2" w:rsidP="00EA2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2AF2" w:rsidRDefault="00B42A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AF2" w:rsidRDefault="00B42AF2" w:rsidP="00EA2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6039">
      <w:rPr>
        <w:rStyle w:val="PageNumber"/>
        <w:noProof/>
      </w:rPr>
      <w:t>18</w:t>
    </w:r>
    <w:r>
      <w:rPr>
        <w:rStyle w:val="PageNumber"/>
      </w:rPr>
      <w:fldChar w:fldCharType="end"/>
    </w:r>
  </w:p>
  <w:p w:rsidR="00B42AF2" w:rsidRDefault="00B42A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905" w:rsidRDefault="00E51905">
      <w:r>
        <w:separator/>
      </w:r>
    </w:p>
  </w:footnote>
  <w:footnote w:type="continuationSeparator" w:id="0">
    <w:p w:rsidR="00E51905" w:rsidRDefault="00E51905">
      <w:r>
        <w:continuationSeparator/>
      </w:r>
    </w:p>
  </w:footnote>
  <w:footnote w:id="1">
    <w:p w:rsidR="00B42AF2" w:rsidRPr="00B764C3" w:rsidRDefault="00B42AF2" w:rsidP="001A0A9C">
      <w:pPr>
        <w:ind w:firstLine="720"/>
        <w:rPr>
          <w:color w:val="000000"/>
        </w:rPr>
      </w:pPr>
      <w:r>
        <w:rPr>
          <w:rStyle w:val="FootnoteReference"/>
        </w:rPr>
        <w:footnoteRef/>
      </w:r>
      <w:r>
        <w:t xml:space="preserve"> </w:t>
      </w:r>
      <w:r>
        <w:rPr>
          <w:color w:val="000000"/>
        </w:rPr>
        <w:t>Although it is conceivable that an ICPC home study by Florida DCF could be completed sooner than a few months, it is highly unlikely, especially during the COVID pandemic</w:t>
      </w:r>
      <w:r w:rsidRPr="00B764C3">
        <w:rPr>
          <w:color w:val="000000"/>
        </w:rPr>
        <w:t>.  The American Public Human Services Association</w:t>
      </w:r>
      <w:r>
        <w:rPr>
          <w:color w:val="000000"/>
        </w:rPr>
        <w:t xml:space="preserve"> (APHSA)</w:t>
      </w:r>
      <w:r w:rsidRPr="00B764C3">
        <w:rPr>
          <w:color w:val="000000"/>
        </w:rPr>
        <w:t>, which acts as Secretariat to the Association of the Administrators of the ICPC, acknowledges delays.  According to th</w:t>
      </w:r>
      <w:r>
        <w:rPr>
          <w:color w:val="000000"/>
        </w:rPr>
        <w:t xml:space="preserve">at organization’s </w:t>
      </w:r>
      <w:r w:rsidRPr="00B764C3">
        <w:rPr>
          <w:color w:val="000000"/>
        </w:rPr>
        <w:t xml:space="preserve">ICPC </w:t>
      </w:r>
      <w:r>
        <w:rPr>
          <w:color w:val="000000"/>
        </w:rPr>
        <w:t xml:space="preserve">FAQ page, </w:t>
      </w:r>
      <w:r w:rsidRPr="00B764C3">
        <w:rPr>
          <w:i/>
          <w:color w:val="000000"/>
        </w:rPr>
        <w:t>available at</w:t>
      </w:r>
      <w:r w:rsidRPr="00B764C3">
        <w:rPr>
          <w:color w:val="000000"/>
        </w:rPr>
        <w:t xml:space="preserve"> </w:t>
      </w:r>
      <w:hyperlink r:id="rId1" w:history="1">
        <w:r w:rsidRPr="00684F95">
          <w:rPr>
            <w:rStyle w:val="Hyperlink"/>
          </w:rPr>
          <w:t>https://aphsa.org/AAICPC/AAICPC/icpc_faq_2.aspx</w:t>
        </w:r>
      </w:hyperlink>
      <w:r>
        <w:t xml:space="preserve"> (last accessed Jan. 29, 2020), w</w:t>
      </w:r>
      <w:r>
        <w:rPr>
          <w:color w:val="000000"/>
        </w:rPr>
        <w:t xml:space="preserve">hile the federal requirement is 60 days for processing of a home study request, it may take longer.  Obviously, the delays may be considerable because of the COVID pandemic.  </w:t>
      </w:r>
    </w:p>
    <w:p w:rsidR="00B42AF2" w:rsidRDefault="00B42AF2" w:rsidP="001A0A9C">
      <w:pPr>
        <w:pStyle w:val="FootnoteText"/>
      </w:pPr>
    </w:p>
  </w:footnote>
  <w:footnote w:id="2">
    <w:p w:rsidR="00B42AF2" w:rsidRDefault="00B42AF2" w:rsidP="00716039">
      <w:pPr>
        <w:ind w:firstLine="720"/>
        <w:rPr>
          <w:iCs/>
          <w:color w:val="000000"/>
        </w:rPr>
      </w:pPr>
      <w:r>
        <w:rPr>
          <w:rStyle w:val="FootnoteReference"/>
        </w:rPr>
        <w:footnoteRef/>
      </w:r>
      <w:r>
        <w:t xml:space="preserve"> </w:t>
      </w:r>
      <w:r w:rsidRPr="00B764C3">
        <w:rPr>
          <w:color w:val="000000"/>
        </w:rPr>
        <w:t xml:space="preserve">There is no established bright line as to the permissible duration of a deprivation prior to a “due process” hearing.  State legislatures have weighed the interests of parents and states, and have enacted statutes setting time limits for post-removal hearings, typically within 24 to 96 hours of a child’s removal.  </w:t>
      </w:r>
      <w:r w:rsidRPr="00B764C3">
        <w:rPr>
          <w:i/>
          <w:color w:val="000000"/>
        </w:rPr>
        <w:t>See</w:t>
      </w:r>
      <w:r w:rsidRPr="00B764C3">
        <w:rPr>
          <w:color w:val="000000"/>
        </w:rPr>
        <w:t xml:space="preserve"> </w:t>
      </w:r>
      <w:r w:rsidRPr="00B764C3">
        <w:rPr>
          <w:i/>
          <w:color w:val="000000"/>
        </w:rPr>
        <w:t>Matter of Jordan</w:t>
      </w:r>
      <w:r w:rsidRPr="00B764C3">
        <w:rPr>
          <w:color w:val="000000"/>
        </w:rPr>
        <w:t xml:space="preserve">, 616 N.E.2d 388, 392 (Ind. App. 1993) (citing sample states’ requirements for timeliness of post-removal hearings).  Massachusetts requires hearings within 72 hours.  </w:t>
      </w:r>
      <w:r w:rsidRPr="00B764C3">
        <w:rPr>
          <w:iCs/>
          <w:color w:val="000000"/>
        </w:rPr>
        <w:t xml:space="preserve">G.L. c.119, § 24.  </w:t>
      </w:r>
      <w:r w:rsidRPr="00B764C3">
        <w:rPr>
          <w:i/>
          <w:iCs/>
          <w:color w:val="000000"/>
        </w:rPr>
        <w:t>In re Custody of Lori</w:t>
      </w:r>
      <w:r w:rsidRPr="00B764C3">
        <w:rPr>
          <w:iCs/>
          <w:color w:val="000000"/>
        </w:rPr>
        <w:t>, 444 Mass. 316, 321 (2005), acknowledged that parents and children face substantive due process deprivations when children are removed from their parents.  Therefore</w:t>
      </w:r>
      <w:r>
        <w:rPr>
          <w:iCs/>
          <w:color w:val="000000"/>
        </w:rPr>
        <w:t>,</w:t>
      </w:r>
      <w:r w:rsidRPr="00B764C3">
        <w:rPr>
          <w:iCs/>
          <w:color w:val="000000"/>
        </w:rPr>
        <w:t xml:space="preserve"> they must have the procedural protection of 72-hour hearings, regardless of which court is hearing the case.  </w:t>
      </w:r>
      <w:r w:rsidRPr="00B764C3">
        <w:rPr>
          <w:i/>
          <w:iCs/>
          <w:color w:val="000000"/>
        </w:rPr>
        <w:t>Id.</w:t>
      </w:r>
      <w:r w:rsidRPr="00B764C3">
        <w:rPr>
          <w:iCs/>
          <w:color w:val="000000"/>
        </w:rPr>
        <w:t xml:space="preserve"> at 322. </w:t>
      </w:r>
    </w:p>
    <w:p w:rsidR="00B42AF2" w:rsidRDefault="00B42AF2" w:rsidP="00716039">
      <w:pPr>
        <w:ind w:firstLine="720"/>
        <w:rPr>
          <w:color w:val="000000"/>
        </w:rPr>
      </w:pPr>
      <w:bookmarkStart w:id="0" w:name="_GoBack"/>
      <w:bookmarkEnd w:id="0"/>
      <w:r w:rsidRPr="00B764C3">
        <w:rPr>
          <w:color w:val="000000"/>
        </w:rPr>
        <w:t>The Nebraska Supreme Court was faced with a case in which 14 days elapsed between the time a child was taken into state protective custody and a hearing was held.  The court held that while the 14-day period did not violate due process, it went to the “brink of unreasonableness</w:t>
      </w:r>
      <w:r>
        <w:rPr>
          <w:color w:val="000000"/>
        </w:rPr>
        <w:t>.</w:t>
      </w:r>
      <w:r w:rsidRPr="00B764C3">
        <w:rPr>
          <w:color w:val="000000"/>
        </w:rPr>
        <w:t xml:space="preserve">”  </w:t>
      </w:r>
      <w:r w:rsidRPr="00B764C3">
        <w:rPr>
          <w:i/>
          <w:color w:val="000000"/>
        </w:rPr>
        <w:t>In re Interest of R.G.</w:t>
      </w:r>
      <w:r w:rsidRPr="00B764C3">
        <w:rPr>
          <w:color w:val="000000"/>
        </w:rPr>
        <w:t xml:space="preserve">, 470 N.W.2d 780, 792 (Neb. 1991), </w:t>
      </w:r>
      <w:r w:rsidRPr="00B764C3">
        <w:rPr>
          <w:i/>
          <w:color w:val="000000"/>
        </w:rPr>
        <w:t>overruled on other grounds</w:t>
      </w:r>
      <w:r w:rsidRPr="00B764C3">
        <w:rPr>
          <w:color w:val="000000"/>
        </w:rPr>
        <w:t xml:space="preserve">, 582 N.W.2d 350, 355 (Neb. 1998).  If a 14-day delay is at the brink of unreasonableness, a </w:t>
      </w:r>
      <w:r>
        <w:rPr>
          <w:color w:val="000000"/>
        </w:rPr>
        <w:t>months-long</w:t>
      </w:r>
      <w:r w:rsidRPr="00B764C3">
        <w:rPr>
          <w:color w:val="000000"/>
        </w:rPr>
        <w:t xml:space="preserve"> delay is well into the realm of unreasonableness.</w:t>
      </w:r>
    </w:p>
    <w:p w:rsidR="00B42AF2" w:rsidRDefault="00B42AF2">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3E6B"/>
    <w:multiLevelType w:val="hybridMultilevel"/>
    <w:tmpl w:val="17A6AEC6"/>
    <w:lvl w:ilvl="0" w:tplc="7A906F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B257CE"/>
    <w:multiLevelType w:val="hybridMultilevel"/>
    <w:tmpl w:val="A8185092"/>
    <w:lvl w:ilvl="0" w:tplc="5FE8E0F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313571"/>
    <w:multiLevelType w:val="hybridMultilevel"/>
    <w:tmpl w:val="23605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705ED4"/>
    <w:multiLevelType w:val="hybridMultilevel"/>
    <w:tmpl w:val="52981D10"/>
    <w:lvl w:ilvl="0" w:tplc="5FE8E0F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D8"/>
    <w:rsid w:val="00001692"/>
    <w:rsid w:val="00005D44"/>
    <w:rsid w:val="000072A3"/>
    <w:rsid w:val="00010133"/>
    <w:rsid w:val="00014916"/>
    <w:rsid w:val="00033959"/>
    <w:rsid w:val="00035ABD"/>
    <w:rsid w:val="0003616F"/>
    <w:rsid w:val="000403C9"/>
    <w:rsid w:val="00041F33"/>
    <w:rsid w:val="00042D8B"/>
    <w:rsid w:val="000528DD"/>
    <w:rsid w:val="00053C33"/>
    <w:rsid w:val="00056246"/>
    <w:rsid w:val="00065174"/>
    <w:rsid w:val="00067D40"/>
    <w:rsid w:val="00070AF5"/>
    <w:rsid w:val="00075210"/>
    <w:rsid w:val="00077CA4"/>
    <w:rsid w:val="00087C86"/>
    <w:rsid w:val="0009091F"/>
    <w:rsid w:val="000947BE"/>
    <w:rsid w:val="0009572F"/>
    <w:rsid w:val="00095C4D"/>
    <w:rsid w:val="00097976"/>
    <w:rsid w:val="00097B7C"/>
    <w:rsid w:val="000A2DD8"/>
    <w:rsid w:val="000A7FC4"/>
    <w:rsid w:val="000B0A77"/>
    <w:rsid w:val="000B0AF7"/>
    <w:rsid w:val="000B0F9B"/>
    <w:rsid w:val="000B229C"/>
    <w:rsid w:val="000C0190"/>
    <w:rsid w:val="000C5827"/>
    <w:rsid w:val="000D1D84"/>
    <w:rsid w:val="000D49E3"/>
    <w:rsid w:val="000E1D80"/>
    <w:rsid w:val="000E413D"/>
    <w:rsid w:val="000E7C36"/>
    <w:rsid w:val="000E7CE5"/>
    <w:rsid w:val="000F4647"/>
    <w:rsid w:val="000F61F4"/>
    <w:rsid w:val="000F6595"/>
    <w:rsid w:val="000F7FBB"/>
    <w:rsid w:val="001104BB"/>
    <w:rsid w:val="001155B5"/>
    <w:rsid w:val="0011730E"/>
    <w:rsid w:val="00117DBA"/>
    <w:rsid w:val="00117DD8"/>
    <w:rsid w:val="001216D7"/>
    <w:rsid w:val="0012201B"/>
    <w:rsid w:val="00124403"/>
    <w:rsid w:val="00126332"/>
    <w:rsid w:val="00126344"/>
    <w:rsid w:val="00130C83"/>
    <w:rsid w:val="00130CB2"/>
    <w:rsid w:val="0013112B"/>
    <w:rsid w:val="0013165A"/>
    <w:rsid w:val="001341EA"/>
    <w:rsid w:val="0013503B"/>
    <w:rsid w:val="001353C6"/>
    <w:rsid w:val="00135F2E"/>
    <w:rsid w:val="00137213"/>
    <w:rsid w:val="00142CD3"/>
    <w:rsid w:val="0014337C"/>
    <w:rsid w:val="00144280"/>
    <w:rsid w:val="001445E0"/>
    <w:rsid w:val="00147BC8"/>
    <w:rsid w:val="00155B84"/>
    <w:rsid w:val="00156FD6"/>
    <w:rsid w:val="00157E5B"/>
    <w:rsid w:val="0016592F"/>
    <w:rsid w:val="001677DE"/>
    <w:rsid w:val="001711DA"/>
    <w:rsid w:val="00171702"/>
    <w:rsid w:val="001725C7"/>
    <w:rsid w:val="00172802"/>
    <w:rsid w:val="0017303A"/>
    <w:rsid w:val="00173DEB"/>
    <w:rsid w:val="0019039D"/>
    <w:rsid w:val="001907FF"/>
    <w:rsid w:val="00191421"/>
    <w:rsid w:val="001944E3"/>
    <w:rsid w:val="001A0A9C"/>
    <w:rsid w:val="001A49D7"/>
    <w:rsid w:val="001A795D"/>
    <w:rsid w:val="001B1C3E"/>
    <w:rsid w:val="001B245E"/>
    <w:rsid w:val="001B3E01"/>
    <w:rsid w:val="001C054F"/>
    <w:rsid w:val="001C31B6"/>
    <w:rsid w:val="001C3857"/>
    <w:rsid w:val="001C5A6F"/>
    <w:rsid w:val="001C5BC5"/>
    <w:rsid w:val="001C7595"/>
    <w:rsid w:val="001D04EF"/>
    <w:rsid w:val="001D1E9B"/>
    <w:rsid w:val="001D22CA"/>
    <w:rsid w:val="001D2BF0"/>
    <w:rsid w:val="001D7033"/>
    <w:rsid w:val="001E61D7"/>
    <w:rsid w:val="001F028F"/>
    <w:rsid w:val="001F26A9"/>
    <w:rsid w:val="001F7C75"/>
    <w:rsid w:val="00200F16"/>
    <w:rsid w:val="002017FC"/>
    <w:rsid w:val="00206B31"/>
    <w:rsid w:val="00207BD6"/>
    <w:rsid w:val="002126E7"/>
    <w:rsid w:val="002133D1"/>
    <w:rsid w:val="0022068C"/>
    <w:rsid w:val="0022494D"/>
    <w:rsid w:val="002317E5"/>
    <w:rsid w:val="00237711"/>
    <w:rsid w:val="002408AC"/>
    <w:rsid w:val="00242CC8"/>
    <w:rsid w:val="00247CA7"/>
    <w:rsid w:val="00252434"/>
    <w:rsid w:val="00252D8B"/>
    <w:rsid w:val="00257721"/>
    <w:rsid w:val="00262D67"/>
    <w:rsid w:val="00263FA0"/>
    <w:rsid w:val="00267505"/>
    <w:rsid w:val="00271627"/>
    <w:rsid w:val="002731A6"/>
    <w:rsid w:val="0027502D"/>
    <w:rsid w:val="00275F47"/>
    <w:rsid w:val="00277792"/>
    <w:rsid w:val="00283129"/>
    <w:rsid w:val="00283443"/>
    <w:rsid w:val="00292CF3"/>
    <w:rsid w:val="00292D81"/>
    <w:rsid w:val="002941C3"/>
    <w:rsid w:val="002A2B41"/>
    <w:rsid w:val="002A345C"/>
    <w:rsid w:val="002A4303"/>
    <w:rsid w:val="002A4581"/>
    <w:rsid w:val="002A730C"/>
    <w:rsid w:val="002B02F3"/>
    <w:rsid w:val="002B15BE"/>
    <w:rsid w:val="002B1D89"/>
    <w:rsid w:val="002B35B3"/>
    <w:rsid w:val="002B7F48"/>
    <w:rsid w:val="002D4C90"/>
    <w:rsid w:val="002E40F5"/>
    <w:rsid w:val="002E4B97"/>
    <w:rsid w:val="002F10D8"/>
    <w:rsid w:val="002F30E0"/>
    <w:rsid w:val="002F5729"/>
    <w:rsid w:val="002F6477"/>
    <w:rsid w:val="002F7BBD"/>
    <w:rsid w:val="00303398"/>
    <w:rsid w:val="00306876"/>
    <w:rsid w:val="0031041F"/>
    <w:rsid w:val="00321882"/>
    <w:rsid w:val="00321BB3"/>
    <w:rsid w:val="00322850"/>
    <w:rsid w:val="00325594"/>
    <w:rsid w:val="00332CF3"/>
    <w:rsid w:val="00333D99"/>
    <w:rsid w:val="00335A88"/>
    <w:rsid w:val="00336691"/>
    <w:rsid w:val="0033706F"/>
    <w:rsid w:val="00342902"/>
    <w:rsid w:val="00342BBF"/>
    <w:rsid w:val="0035163F"/>
    <w:rsid w:val="00351B3D"/>
    <w:rsid w:val="00354D53"/>
    <w:rsid w:val="00360694"/>
    <w:rsid w:val="00364336"/>
    <w:rsid w:val="00365EA6"/>
    <w:rsid w:val="003670AC"/>
    <w:rsid w:val="00372B63"/>
    <w:rsid w:val="0037336A"/>
    <w:rsid w:val="00374BE6"/>
    <w:rsid w:val="003765FB"/>
    <w:rsid w:val="003777B2"/>
    <w:rsid w:val="00385174"/>
    <w:rsid w:val="0039119E"/>
    <w:rsid w:val="00393456"/>
    <w:rsid w:val="003A0437"/>
    <w:rsid w:val="003A134C"/>
    <w:rsid w:val="003A3646"/>
    <w:rsid w:val="003A7B60"/>
    <w:rsid w:val="003B59E4"/>
    <w:rsid w:val="003B6E6C"/>
    <w:rsid w:val="003B72AE"/>
    <w:rsid w:val="003C047D"/>
    <w:rsid w:val="003C362E"/>
    <w:rsid w:val="003C415C"/>
    <w:rsid w:val="003C4326"/>
    <w:rsid w:val="003D1A97"/>
    <w:rsid w:val="003D51C3"/>
    <w:rsid w:val="003D77D9"/>
    <w:rsid w:val="003E3CE3"/>
    <w:rsid w:val="003E4BFB"/>
    <w:rsid w:val="003E63A9"/>
    <w:rsid w:val="003E7539"/>
    <w:rsid w:val="003F14FF"/>
    <w:rsid w:val="003F5008"/>
    <w:rsid w:val="0040005C"/>
    <w:rsid w:val="00400424"/>
    <w:rsid w:val="00401753"/>
    <w:rsid w:val="0040216F"/>
    <w:rsid w:val="0040236E"/>
    <w:rsid w:val="004034A1"/>
    <w:rsid w:val="0040680C"/>
    <w:rsid w:val="0040691A"/>
    <w:rsid w:val="0040796E"/>
    <w:rsid w:val="00411464"/>
    <w:rsid w:val="00415815"/>
    <w:rsid w:val="00422276"/>
    <w:rsid w:val="0043006C"/>
    <w:rsid w:val="0043221B"/>
    <w:rsid w:val="004379D6"/>
    <w:rsid w:val="004416A8"/>
    <w:rsid w:val="00442C07"/>
    <w:rsid w:val="00452ED3"/>
    <w:rsid w:val="004532F0"/>
    <w:rsid w:val="004606F0"/>
    <w:rsid w:val="00460F1F"/>
    <w:rsid w:val="00461A4A"/>
    <w:rsid w:val="0046334F"/>
    <w:rsid w:val="00470867"/>
    <w:rsid w:val="00475B72"/>
    <w:rsid w:val="00477EB0"/>
    <w:rsid w:val="00482299"/>
    <w:rsid w:val="004869AD"/>
    <w:rsid w:val="00493166"/>
    <w:rsid w:val="004943C8"/>
    <w:rsid w:val="00495257"/>
    <w:rsid w:val="00496079"/>
    <w:rsid w:val="0049673E"/>
    <w:rsid w:val="00496EF7"/>
    <w:rsid w:val="004A15E2"/>
    <w:rsid w:val="004A5569"/>
    <w:rsid w:val="004A65A8"/>
    <w:rsid w:val="004A7A0E"/>
    <w:rsid w:val="004B0507"/>
    <w:rsid w:val="004B2515"/>
    <w:rsid w:val="004B2B59"/>
    <w:rsid w:val="004B6653"/>
    <w:rsid w:val="004C117B"/>
    <w:rsid w:val="004C307D"/>
    <w:rsid w:val="004C5AA8"/>
    <w:rsid w:val="004D5708"/>
    <w:rsid w:val="004E5321"/>
    <w:rsid w:val="004F03DE"/>
    <w:rsid w:val="004F06F4"/>
    <w:rsid w:val="004F246C"/>
    <w:rsid w:val="004F2997"/>
    <w:rsid w:val="00503A0D"/>
    <w:rsid w:val="005127B5"/>
    <w:rsid w:val="005137F1"/>
    <w:rsid w:val="005141B9"/>
    <w:rsid w:val="00514F11"/>
    <w:rsid w:val="00515567"/>
    <w:rsid w:val="005204FA"/>
    <w:rsid w:val="00520E2D"/>
    <w:rsid w:val="0052307A"/>
    <w:rsid w:val="00525DA1"/>
    <w:rsid w:val="00531F2E"/>
    <w:rsid w:val="00544E18"/>
    <w:rsid w:val="00546573"/>
    <w:rsid w:val="005474C7"/>
    <w:rsid w:val="005503D1"/>
    <w:rsid w:val="00552FE4"/>
    <w:rsid w:val="0055610D"/>
    <w:rsid w:val="005614A5"/>
    <w:rsid w:val="00565854"/>
    <w:rsid w:val="00571887"/>
    <w:rsid w:val="00571C37"/>
    <w:rsid w:val="00572D2C"/>
    <w:rsid w:val="005804FA"/>
    <w:rsid w:val="005810F2"/>
    <w:rsid w:val="0058196D"/>
    <w:rsid w:val="00582C0E"/>
    <w:rsid w:val="00584F91"/>
    <w:rsid w:val="00587B4A"/>
    <w:rsid w:val="00591E52"/>
    <w:rsid w:val="00591E7D"/>
    <w:rsid w:val="00593342"/>
    <w:rsid w:val="00596035"/>
    <w:rsid w:val="00597CBC"/>
    <w:rsid w:val="005A7EAC"/>
    <w:rsid w:val="005B28E0"/>
    <w:rsid w:val="005B45DE"/>
    <w:rsid w:val="005B6021"/>
    <w:rsid w:val="005B6353"/>
    <w:rsid w:val="005B6968"/>
    <w:rsid w:val="005B7A76"/>
    <w:rsid w:val="005C74E3"/>
    <w:rsid w:val="005D6853"/>
    <w:rsid w:val="005E0B0F"/>
    <w:rsid w:val="005E0E38"/>
    <w:rsid w:val="005E1374"/>
    <w:rsid w:val="005E1A3E"/>
    <w:rsid w:val="005E59A8"/>
    <w:rsid w:val="006044F2"/>
    <w:rsid w:val="006056E3"/>
    <w:rsid w:val="00607237"/>
    <w:rsid w:val="00607BFE"/>
    <w:rsid w:val="006135BB"/>
    <w:rsid w:val="0062144B"/>
    <w:rsid w:val="00623309"/>
    <w:rsid w:val="006265D3"/>
    <w:rsid w:val="00627FEF"/>
    <w:rsid w:val="00630C59"/>
    <w:rsid w:val="00631A14"/>
    <w:rsid w:val="00636285"/>
    <w:rsid w:val="0064210E"/>
    <w:rsid w:val="00642D09"/>
    <w:rsid w:val="00642E86"/>
    <w:rsid w:val="006461D7"/>
    <w:rsid w:val="00646F62"/>
    <w:rsid w:val="00647CE4"/>
    <w:rsid w:val="00650024"/>
    <w:rsid w:val="006529B5"/>
    <w:rsid w:val="00654196"/>
    <w:rsid w:val="00654795"/>
    <w:rsid w:val="006608FE"/>
    <w:rsid w:val="00660F9D"/>
    <w:rsid w:val="00663BDC"/>
    <w:rsid w:val="00664188"/>
    <w:rsid w:val="00664F38"/>
    <w:rsid w:val="00671AA8"/>
    <w:rsid w:val="00676A05"/>
    <w:rsid w:val="00684D8A"/>
    <w:rsid w:val="0069335B"/>
    <w:rsid w:val="00695911"/>
    <w:rsid w:val="00696DF0"/>
    <w:rsid w:val="006A31BC"/>
    <w:rsid w:val="006B286C"/>
    <w:rsid w:val="006B3146"/>
    <w:rsid w:val="006C0114"/>
    <w:rsid w:val="006C282B"/>
    <w:rsid w:val="006C421D"/>
    <w:rsid w:val="006C449D"/>
    <w:rsid w:val="006C55A8"/>
    <w:rsid w:val="006D2537"/>
    <w:rsid w:val="006D3023"/>
    <w:rsid w:val="006D3261"/>
    <w:rsid w:val="006D5AB4"/>
    <w:rsid w:val="006E189D"/>
    <w:rsid w:val="006E1F17"/>
    <w:rsid w:val="006E2897"/>
    <w:rsid w:val="006E2EC0"/>
    <w:rsid w:val="006E3B19"/>
    <w:rsid w:val="006F1C39"/>
    <w:rsid w:val="006F4D7B"/>
    <w:rsid w:val="006F6200"/>
    <w:rsid w:val="006F6870"/>
    <w:rsid w:val="00705F7E"/>
    <w:rsid w:val="00711033"/>
    <w:rsid w:val="007134D0"/>
    <w:rsid w:val="00716039"/>
    <w:rsid w:val="00721254"/>
    <w:rsid w:val="00723207"/>
    <w:rsid w:val="00723D40"/>
    <w:rsid w:val="00727D45"/>
    <w:rsid w:val="00732B5A"/>
    <w:rsid w:val="00733164"/>
    <w:rsid w:val="00733407"/>
    <w:rsid w:val="00734D39"/>
    <w:rsid w:val="00735A34"/>
    <w:rsid w:val="00735BC5"/>
    <w:rsid w:val="00737A32"/>
    <w:rsid w:val="00737CE9"/>
    <w:rsid w:val="00740CA5"/>
    <w:rsid w:val="0074204F"/>
    <w:rsid w:val="00744330"/>
    <w:rsid w:val="007547F1"/>
    <w:rsid w:val="00755BBE"/>
    <w:rsid w:val="00756DB6"/>
    <w:rsid w:val="007608BA"/>
    <w:rsid w:val="00766F26"/>
    <w:rsid w:val="007702AC"/>
    <w:rsid w:val="00770368"/>
    <w:rsid w:val="00771B41"/>
    <w:rsid w:val="00771CC1"/>
    <w:rsid w:val="00772D88"/>
    <w:rsid w:val="007744C9"/>
    <w:rsid w:val="00785919"/>
    <w:rsid w:val="00790C9E"/>
    <w:rsid w:val="007934D2"/>
    <w:rsid w:val="00797C31"/>
    <w:rsid w:val="007A114F"/>
    <w:rsid w:val="007A54FA"/>
    <w:rsid w:val="007A55AB"/>
    <w:rsid w:val="007A7499"/>
    <w:rsid w:val="007B275D"/>
    <w:rsid w:val="007B2E02"/>
    <w:rsid w:val="007B6577"/>
    <w:rsid w:val="007B7274"/>
    <w:rsid w:val="007C2203"/>
    <w:rsid w:val="007C2FC2"/>
    <w:rsid w:val="007C5F45"/>
    <w:rsid w:val="007D0C2F"/>
    <w:rsid w:val="007D2F7C"/>
    <w:rsid w:val="007D43A0"/>
    <w:rsid w:val="007D6536"/>
    <w:rsid w:val="007D6894"/>
    <w:rsid w:val="007E2FFE"/>
    <w:rsid w:val="007E3C5C"/>
    <w:rsid w:val="007E4043"/>
    <w:rsid w:val="007E4650"/>
    <w:rsid w:val="007E6879"/>
    <w:rsid w:val="007E68C2"/>
    <w:rsid w:val="007F150C"/>
    <w:rsid w:val="007F1C43"/>
    <w:rsid w:val="007F2220"/>
    <w:rsid w:val="007F6B42"/>
    <w:rsid w:val="00801EA3"/>
    <w:rsid w:val="00803DFE"/>
    <w:rsid w:val="0081264C"/>
    <w:rsid w:val="0081504F"/>
    <w:rsid w:val="008151CA"/>
    <w:rsid w:val="0082149C"/>
    <w:rsid w:val="00825F06"/>
    <w:rsid w:val="0083115A"/>
    <w:rsid w:val="00841163"/>
    <w:rsid w:val="008434AD"/>
    <w:rsid w:val="008438B9"/>
    <w:rsid w:val="00844F42"/>
    <w:rsid w:val="00846386"/>
    <w:rsid w:val="00854D49"/>
    <w:rsid w:val="0085757F"/>
    <w:rsid w:val="00867DB1"/>
    <w:rsid w:val="00870159"/>
    <w:rsid w:val="008715FA"/>
    <w:rsid w:val="0087433F"/>
    <w:rsid w:val="00875B9F"/>
    <w:rsid w:val="00883097"/>
    <w:rsid w:val="00883F15"/>
    <w:rsid w:val="00886689"/>
    <w:rsid w:val="0089054A"/>
    <w:rsid w:val="00890A9B"/>
    <w:rsid w:val="008916C7"/>
    <w:rsid w:val="00892408"/>
    <w:rsid w:val="00893E1B"/>
    <w:rsid w:val="0089754E"/>
    <w:rsid w:val="008A0FF0"/>
    <w:rsid w:val="008A1318"/>
    <w:rsid w:val="008B1D00"/>
    <w:rsid w:val="008B4D10"/>
    <w:rsid w:val="008B6FB8"/>
    <w:rsid w:val="008C1585"/>
    <w:rsid w:val="008C6C6C"/>
    <w:rsid w:val="008D0F30"/>
    <w:rsid w:val="008D1C3C"/>
    <w:rsid w:val="008D3A33"/>
    <w:rsid w:val="008D43FB"/>
    <w:rsid w:val="008E1A70"/>
    <w:rsid w:val="008E622F"/>
    <w:rsid w:val="008E7C16"/>
    <w:rsid w:val="008F0D28"/>
    <w:rsid w:val="008F2556"/>
    <w:rsid w:val="008F3DB5"/>
    <w:rsid w:val="008F4CBB"/>
    <w:rsid w:val="008F512B"/>
    <w:rsid w:val="008F51E8"/>
    <w:rsid w:val="008F7355"/>
    <w:rsid w:val="00901BA4"/>
    <w:rsid w:val="00901BC2"/>
    <w:rsid w:val="00910C46"/>
    <w:rsid w:val="00910F96"/>
    <w:rsid w:val="0091301D"/>
    <w:rsid w:val="0091357A"/>
    <w:rsid w:val="00913A69"/>
    <w:rsid w:val="0091732E"/>
    <w:rsid w:val="009205CC"/>
    <w:rsid w:val="0092732C"/>
    <w:rsid w:val="009359C5"/>
    <w:rsid w:val="00940177"/>
    <w:rsid w:val="0094274A"/>
    <w:rsid w:val="0094659D"/>
    <w:rsid w:val="009465C5"/>
    <w:rsid w:val="00947DBA"/>
    <w:rsid w:val="009504A0"/>
    <w:rsid w:val="0095086F"/>
    <w:rsid w:val="009512F5"/>
    <w:rsid w:val="00953228"/>
    <w:rsid w:val="0095669E"/>
    <w:rsid w:val="00960243"/>
    <w:rsid w:val="00960F4B"/>
    <w:rsid w:val="0096100E"/>
    <w:rsid w:val="0096662F"/>
    <w:rsid w:val="00966D97"/>
    <w:rsid w:val="0096740A"/>
    <w:rsid w:val="00967800"/>
    <w:rsid w:val="00982212"/>
    <w:rsid w:val="009822EE"/>
    <w:rsid w:val="00986C49"/>
    <w:rsid w:val="00994102"/>
    <w:rsid w:val="0099482D"/>
    <w:rsid w:val="009977BF"/>
    <w:rsid w:val="009A2765"/>
    <w:rsid w:val="009A522C"/>
    <w:rsid w:val="009A6DA8"/>
    <w:rsid w:val="009B108E"/>
    <w:rsid w:val="009B23FB"/>
    <w:rsid w:val="009B2665"/>
    <w:rsid w:val="009C6915"/>
    <w:rsid w:val="009D1945"/>
    <w:rsid w:val="009D2085"/>
    <w:rsid w:val="009D4F74"/>
    <w:rsid w:val="009D5DA2"/>
    <w:rsid w:val="009E0104"/>
    <w:rsid w:val="009E3172"/>
    <w:rsid w:val="009E72B8"/>
    <w:rsid w:val="009F1721"/>
    <w:rsid w:val="009F3BA1"/>
    <w:rsid w:val="009F46AF"/>
    <w:rsid w:val="009F55D5"/>
    <w:rsid w:val="00A0437F"/>
    <w:rsid w:val="00A04BCE"/>
    <w:rsid w:val="00A116C2"/>
    <w:rsid w:val="00A11FA9"/>
    <w:rsid w:val="00A14103"/>
    <w:rsid w:val="00A161B5"/>
    <w:rsid w:val="00A17A01"/>
    <w:rsid w:val="00A20A8F"/>
    <w:rsid w:val="00A230A4"/>
    <w:rsid w:val="00A23C3F"/>
    <w:rsid w:val="00A253CB"/>
    <w:rsid w:val="00A33232"/>
    <w:rsid w:val="00A33764"/>
    <w:rsid w:val="00A33861"/>
    <w:rsid w:val="00A34AB8"/>
    <w:rsid w:val="00A36959"/>
    <w:rsid w:val="00A36EBE"/>
    <w:rsid w:val="00A373DD"/>
    <w:rsid w:val="00A37789"/>
    <w:rsid w:val="00A41506"/>
    <w:rsid w:val="00A449AD"/>
    <w:rsid w:val="00A50D13"/>
    <w:rsid w:val="00A55437"/>
    <w:rsid w:val="00A57875"/>
    <w:rsid w:val="00A60E3A"/>
    <w:rsid w:val="00A61CB5"/>
    <w:rsid w:val="00A6346D"/>
    <w:rsid w:val="00A66B34"/>
    <w:rsid w:val="00A6735A"/>
    <w:rsid w:val="00A74332"/>
    <w:rsid w:val="00A76AB9"/>
    <w:rsid w:val="00A770C3"/>
    <w:rsid w:val="00A956C1"/>
    <w:rsid w:val="00A97D65"/>
    <w:rsid w:val="00AA16AB"/>
    <w:rsid w:val="00AA5331"/>
    <w:rsid w:val="00AA5970"/>
    <w:rsid w:val="00AA598A"/>
    <w:rsid w:val="00AA5AE2"/>
    <w:rsid w:val="00AB0308"/>
    <w:rsid w:val="00AB05B2"/>
    <w:rsid w:val="00AB07EF"/>
    <w:rsid w:val="00AB1D3B"/>
    <w:rsid w:val="00AB4FEA"/>
    <w:rsid w:val="00AC01FA"/>
    <w:rsid w:val="00AC09E2"/>
    <w:rsid w:val="00AC2393"/>
    <w:rsid w:val="00AC2952"/>
    <w:rsid w:val="00AC3DB0"/>
    <w:rsid w:val="00AC685D"/>
    <w:rsid w:val="00AC781F"/>
    <w:rsid w:val="00AD2074"/>
    <w:rsid w:val="00AD3509"/>
    <w:rsid w:val="00AD4AC0"/>
    <w:rsid w:val="00AD7160"/>
    <w:rsid w:val="00AE1DE0"/>
    <w:rsid w:val="00AE2DD7"/>
    <w:rsid w:val="00AE4551"/>
    <w:rsid w:val="00AE7774"/>
    <w:rsid w:val="00AE7C60"/>
    <w:rsid w:val="00AE7E39"/>
    <w:rsid w:val="00AF1342"/>
    <w:rsid w:val="00AF185A"/>
    <w:rsid w:val="00AF1C80"/>
    <w:rsid w:val="00AF2469"/>
    <w:rsid w:val="00AF32DD"/>
    <w:rsid w:val="00AF61BD"/>
    <w:rsid w:val="00AF7180"/>
    <w:rsid w:val="00B015CF"/>
    <w:rsid w:val="00B03DFC"/>
    <w:rsid w:val="00B20D0B"/>
    <w:rsid w:val="00B211A6"/>
    <w:rsid w:val="00B308EE"/>
    <w:rsid w:val="00B31EE8"/>
    <w:rsid w:val="00B32B8E"/>
    <w:rsid w:val="00B3315E"/>
    <w:rsid w:val="00B3328E"/>
    <w:rsid w:val="00B33D4B"/>
    <w:rsid w:val="00B35CE3"/>
    <w:rsid w:val="00B36179"/>
    <w:rsid w:val="00B4041E"/>
    <w:rsid w:val="00B41677"/>
    <w:rsid w:val="00B416BE"/>
    <w:rsid w:val="00B42A12"/>
    <w:rsid w:val="00B42AF2"/>
    <w:rsid w:val="00B46404"/>
    <w:rsid w:val="00B54027"/>
    <w:rsid w:val="00B54D97"/>
    <w:rsid w:val="00B54FE9"/>
    <w:rsid w:val="00B60395"/>
    <w:rsid w:val="00B641A5"/>
    <w:rsid w:val="00B653B0"/>
    <w:rsid w:val="00B6583D"/>
    <w:rsid w:val="00B670EA"/>
    <w:rsid w:val="00B764C3"/>
    <w:rsid w:val="00B8325B"/>
    <w:rsid w:val="00B92636"/>
    <w:rsid w:val="00B930BA"/>
    <w:rsid w:val="00B930F2"/>
    <w:rsid w:val="00B94B23"/>
    <w:rsid w:val="00B94CC7"/>
    <w:rsid w:val="00BA5325"/>
    <w:rsid w:val="00BA53F5"/>
    <w:rsid w:val="00BB028C"/>
    <w:rsid w:val="00BB246E"/>
    <w:rsid w:val="00BB4E2F"/>
    <w:rsid w:val="00BB7672"/>
    <w:rsid w:val="00BC0357"/>
    <w:rsid w:val="00BC1226"/>
    <w:rsid w:val="00BC1FDD"/>
    <w:rsid w:val="00BC2717"/>
    <w:rsid w:val="00BC27BE"/>
    <w:rsid w:val="00BC29B6"/>
    <w:rsid w:val="00BC6945"/>
    <w:rsid w:val="00BC707D"/>
    <w:rsid w:val="00BD1042"/>
    <w:rsid w:val="00BD6D20"/>
    <w:rsid w:val="00BE2DA1"/>
    <w:rsid w:val="00BE4AE3"/>
    <w:rsid w:val="00BF4CDF"/>
    <w:rsid w:val="00BF71D4"/>
    <w:rsid w:val="00C0164F"/>
    <w:rsid w:val="00C02347"/>
    <w:rsid w:val="00C025DD"/>
    <w:rsid w:val="00C030E6"/>
    <w:rsid w:val="00C04447"/>
    <w:rsid w:val="00C079F9"/>
    <w:rsid w:val="00C11131"/>
    <w:rsid w:val="00C13DDE"/>
    <w:rsid w:val="00C2000C"/>
    <w:rsid w:val="00C21F72"/>
    <w:rsid w:val="00C230A4"/>
    <w:rsid w:val="00C2382E"/>
    <w:rsid w:val="00C241BA"/>
    <w:rsid w:val="00C422BC"/>
    <w:rsid w:val="00C44AD7"/>
    <w:rsid w:val="00C45FA2"/>
    <w:rsid w:val="00C57A2A"/>
    <w:rsid w:val="00C618EA"/>
    <w:rsid w:val="00C66246"/>
    <w:rsid w:val="00C67D3A"/>
    <w:rsid w:val="00C72D7A"/>
    <w:rsid w:val="00C73FE9"/>
    <w:rsid w:val="00C7424B"/>
    <w:rsid w:val="00C80430"/>
    <w:rsid w:val="00C829CD"/>
    <w:rsid w:val="00C85B98"/>
    <w:rsid w:val="00C863CE"/>
    <w:rsid w:val="00C9110D"/>
    <w:rsid w:val="00C94644"/>
    <w:rsid w:val="00C94CF7"/>
    <w:rsid w:val="00C973D5"/>
    <w:rsid w:val="00CA2126"/>
    <w:rsid w:val="00CA34AC"/>
    <w:rsid w:val="00CA57E7"/>
    <w:rsid w:val="00CA5AF2"/>
    <w:rsid w:val="00CA5B6A"/>
    <w:rsid w:val="00CA6689"/>
    <w:rsid w:val="00CB0909"/>
    <w:rsid w:val="00CB4789"/>
    <w:rsid w:val="00CB783F"/>
    <w:rsid w:val="00CB7D76"/>
    <w:rsid w:val="00CC460A"/>
    <w:rsid w:val="00CC54BC"/>
    <w:rsid w:val="00CC63AD"/>
    <w:rsid w:val="00CD04C8"/>
    <w:rsid w:val="00CD0559"/>
    <w:rsid w:val="00CD55AB"/>
    <w:rsid w:val="00CD5B89"/>
    <w:rsid w:val="00CD7CEF"/>
    <w:rsid w:val="00CD7EF4"/>
    <w:rsid w:val="00CE06C3"/>
    <w:rsid w:val="00CE1653"/>
    <w:rsid w:val="00CE262C"/>
    <w:rsid w:val="00CE7CC8"/>
    <w:rsid w:val="00CF2E54"/>
    <w:rsid w:val="00CF5E11"/>
    <w:rsid w:val="00CF6519"/>
    <w:rsid w:val="00D04ECF"/>
    <w:rsid w:val="00D06127"/>
    <w:rsid w:val="00D10AE6"/>
    <w:rsid w:val="00D112A9"/>
    <w:rsid w:val="00D11E49"/>
    <w:rsid w:val="00D11E85"/>
    <w:rsid w:val="00D22311"/>
    <w:rsid w:val="00D25F7F"/>
    <w:rsid w:val="00D30442"/>
    <w:rsid w:val="00D30F01"/>
    <w:rsid w:val="00D347BD"/>
    <w:rsid w:val="00D40E93"/>
    <w:rsid w:val="00D41FE2"/>
    <w:rsid w:val="00D43598"/>
    <w:rsid w:val="00D44E30"/>
    <w:rsid w:val="00D53873"/>
    <w:rsid w:val="00D538A3"/>
    <w:rsid w:val="00D55003"/>
    <w:rsid w:val="00D56C2A"/>
    <w:rsid w:val="00D62BEE"/>
    <w:rsid w:val="00D65A9E"/>
    <w:rsid w:val="00D6666F"/>
    <w:rsid w:val="00D67DA5"/>
    <w:rsid w:val="00D74FCB"/>
    <w:rsid w:val="00D757EC"/>
    <w:rsid w:val="00D77996"/>
    <w:rsid w:val="00D81BA0"/>
    <w:rsid w:val="00D86D5A"/>
    <w:rsid w:val="00D8710E"/>
    <w:rsid w:val="00D92A54"/>
    <w:rsid w:val="00D92D24"/>
    <w:rsid w:val="00D95DFC"/>
    <w:rsid w:val="00DA07DF"/>
    <w:rsid w:val="00DA5530"/>
    <w:rsid w:val="00DB2EF5"/>
    <w:rsid w:val="00DB3126"/>
    <w:rsid w:val="00DB7015"/>
    <w:rsid w:val="00DB797F"/>
    <w:rsid w:val="00DC6E32"/>
    <w:rsid w:val="00DD0D0C"/>
    <w:rsid w:val="00DD6392"/>
    <w:rsid w:val="00DE2926"/>
    <w:rsid w:val="00DE67CC"/>
    <w:rsid w:val="00DF0F87"/>
    <w:rsid w:val="00DF1600"/>
    <w:rsid w:val="00DF177B"/>
    <w:rsid w:val="00DF489F"/>
    <w:rsid w:val="00DF7997"/>
    <w:rsid w:val="00E010DE"/>
    <w:rsid w:val="00E022DF"/>
    <w:rsid w:val="00E04ADA"/>
    <w:rsid w:val="00E119B2"/>
    <w:rsid w:val="00E12AD8"/>
    <w:rsid w:val="00E13959"/>
    <w:rsid w:val="00E14847"/>
    <w:rsid w:val="00E20363"/>
    <w:rsid w:val="00E2161D"/>
    <w:rsid w:val="00E217DB"/>
    <w:rsid w:val="00E21DC9"/>
    <w:rsid w:val="00E220C7"/>
    <w:rsid w:val="00E23327"/>
    <w:rsid w:val="00E24C69"/>
    <w:rsid w:val="00E3139A"/>
    <w:rsid w:val="00E365EE"/>
    <w:rsid w:val="00E4018F"/>
    <w:rsid w:val="00E4216C"/>
    <w:rsid w:val="00E438BD"/>
    <w:rsid w:val="00E457EB"/>
    <w:rsid w:val="00E50BB4"/>
    <w:rsid w:val="00E51905"/>
    <w:rsid w:val="00E626F2"/>
    <w:rsid w:val="00E63F7F"/>
    <w:rsid w:val="00E67C08"/>
    <w:rsid w:val="00E719AF"/>
    <w:rsid w:val="00E73FA0"/>
    <w:rsid w:val="00E7406F"/>
    <w:rsid w:val="00E76012"/>
    <w:rsid w:val="00E822AC"/>
    <w:rsid w:val="00E82940"/>
    <w:rsid w:val="00E8377B"/>
    <w:rsid w:val="00E856A6"/>
    <w:rsid w:val="00E85D6D"/>
    <w:rsid w:val="00E863BB"/>
    <w:rsid w:val="00E87E1D"/>
    <w:rsid w:val="00E902C5"/>
    <w:rsid w:val="00EA1B39"/>
    <w:rsid w:val="00EA2DC2"/>
    <w:rsid w:val="00EA306D"/>
    <w:rsid w:val="00EB0213"/>
    <w:rsid w:val="00EB0398"/>
    <w:rsid w:val="00EB3AD3"/>
    <w:rsid w:val="00EB71E6"/>
    <w:rsid w:val="00EC0BA9"/>
    <w:rsid w:val="00EC37F6"/>
    <w:rsid w:val="00EC4994"/>
    <w:rsid w:val="00EC52E1"/>
    <w:rsid w:val="00ED0C63"/>
    <w:rsid w:val="00ED0FC3"/>
    <w:rsid w:val="00ED2B54"/>
    <w:rsid w:val="00ED5B23"/>
    <w:rsid w:val="00ED7C8D"/>
    <w:rsid w:val="00EE336D"/>
    <w:rsid w:val="00EF0244"/>
    <w:rsid w:val="00EF5E6C"/>
    <w:rsid w:val="00EF7046"/>
    <w:rsid w:val="00F016F0"/>
    <w:rsid w:val="00F0196C"/>
    <w:rsid w:val="00F0463D"/>
    <w:rsid w:val="00F05966"/>
    <w:rsid w:val="00F11286"/>
    <w:rsid w:val="00F144A0"/>
    <w:rsid w:val="00F14A6D"/>
    <w:rsid w:val="00F238BD"/>
    <w:rsid w:val="00F239E6"/>
    <w:rsid w:val="00F23A73"/>
    <w:rsid w:val="00F3360D"/>
    <w:rsid w:val="00F4030F"/>
    <w:rsid w:val="00F43B13"/>
    <w:rsid w:val="00F45A57"/>
    <w:rsid w:val="00F45AF6"/>
    <w:rsid w:val="00F53433"/>
    <w:rsid w:val="00F57BF5"/>
    <w:rsid w:val="00F60249"/>
    <w:rsid w:val="00F62FD1"/>
    <w:rsid w:val="00F655F5"/>
    <w:rsid w:val="00F65D7B"/>
    <w:rsid w:val="00F70470"/>
    <w:rsid w:val="00F71397"/>
    <w:rsid w:val="00F833A1"/>
    <w:rsid w:val="00F859EB"/>
    <w:rsid w:val="00F9065B"/>
    <w:rsid w:val="00F914D6"/>
    <w:rsid w:val="00F91CA8"/>
    <w:rsid w:val="00F933DD"/>
    <w:rsid w:val="00F97EB6"/>
    <w:rsid w:val="00FA1AE5"/>
    <w:rsid w:val="00FA3DCD"/>
    <w:rsid w:val="00FA7831"/>
    <w:rsid w:val="00FB355C"/>
    <w:rsid w:val="00FB42AA"/>
    <w:rsid w:val="00FC2C4C"/>
    <w:rsid w:val="00FC3A58"/>
    <w:rsid w:val="00FC414D"/>
    <w:rsid w:val="00FC5A7E"/>
    <w:rsid w:val="00FC6E21"/>
    <w:rsid w:val="00FC6F7B"/>
    <w:rsid w:val="00FD04D0"/>
    <w:rsid w:val="00FD05BE"/>
    <w:rsid w:val="00FD114C"/>
    <w:rsid w:val="00FD4BFF"/>
    <w:rsid w:val="00FD4FFA"/>
    <w:rsid w:val="00FD509C"/>
    <w:rsid w:val="00FE0B67"/>
    <w:rsid w:val="00FE33FE"/>
    <w:rsid w:val="00FE5419"/>
    <w:rsid w:val="00FE595E"/>
    <w:rsid w:val="00FF155C"/>
    <w:rsid w:val="00FF2D19"/>
    <w:rsid w:val="00FF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18085A"/>
  <w15:chartTrackingRefBased/>
  <w15:docId w15:val="{22849924-EA16-42E9-A596-427F2E60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17DD8"/>
    <w:pPr>
      <w:spacing w:before="100" w:beforeAutospacing="1" w:after="100" w:afterAutospacing="1"/>
    </w:pPr>
  </w:style>
  <w:style w:type="character" w:customStyle="1" w:styleId="apple-converted-space">
    <w:name w:val="apple-converted-space"/>
    <w:basedOn w:val="DefaultParagraphFont"/>
    <w:rsid w:val="00117DD8"/>
  </w:style>
  <w:style w:type="character" w:styleId="CommentReference">
    <w:name w:val="annotation reference"/>
    <w:semiHidden/>
    <w:rsid w:val="009205CC"/>
    <w:rPr>
      <w:sz w:val="16"/>
      <w:szCs w:val="16"/>
    </w:rPr>
  </w:style>
  <w:style w:type="paragraph" w:styleId="CommentText">
    <w:name w:val="annotation text"/>
    <w:basedOn w:val="Normal"/>
    <w:semiHidden/>
    <w:rsid w:val="009205CC"/>
    <w:rPr>
      <w:sz w:val="20"/>
      <w:szCs w:val="20"/>
    </w:rPr>
  </w:style>
  <w:style w:type="paragraph" w:styleId="CommentSubject">
    <w:name w:val="annotation subject"/>
    <w:basedOn w:val="CommentText"/>
    <w:next w:val="CommentText"/>
    <w:semiHidden/>
    <w:rsid w:val="009205CC"/>
    <w:rPr>
      <w:b/>
      <w:bCs/>
    </w:rPr>
  </w:style>
  <w:style w:type="paragraph" w:styleId="BalloonText">
    <w:name w:val="Balloon Text"/>
    <w:basedOn w:val="Normal"/>
    <w:semiHidden/>
    <w:rsid w:val="009205CC"/>
    <w:rPr>
      <w:rFonts w:ascii="Tahoma" w:hAnsi="Tahoma" w:cs="Tahoma"/>
      <w:sz w:val="16"/>
      <w:szCs w:val="16"/>
    </w:rPr>
  </w:style>
  <w:style w:type="character" w:customStyle="1" w:styleId="apple-style-span">
    <w:name w:val="apple-style-span"/>
    <w:basedOn w:val="DefaultParagraphFont"/>
    <w:rsid w:val="00C973D5"/>
  </w:style>
  <w:style w:type="character" w:customStyle="1" w:styleId="starpage">
    <w:name w:val="starpage"/>
    <w:basedOn w:val="DefaultParagraphFont"/>
    <w:rsid w:val="00C973D5"/>
  </w:style>
  <w:style w:type="character" w:styleId="Hyperlink">
    <w:name w:val="Hyperlink"/>
    <w:uiPriority w:val="99"/>
    <w:rsid w:val="00C973D5"/>
    <w:rPr>
      <w:color w:val="0000FF"/>
      <w:u w:val="single"/>
    </w:rPr>
  </w:style>
  <w:style w:type="character" w:styleId="FollowedHyperlink">
    <w:name w:val="FollowedHyperlink"/>
    <w:rsid w:val="00351B3D"/>
    <w:rPr>
      <w:color w:val="800080"/>
      <w:u w:val="single"/>
    </w:rPr>
  </w:style>
  <w:style w:type="paragraph" w:styleId="Footer">
    <w:name w:val="footer"/>
    <w:basedOn w:val="Normal"/>
    <w:rsid w:val="004379D6"/>
    <w:pPr>
      <w:tabs>
        <w:tab w:val="center" w:pos="4320"/>
        <w:tab w:val="right" w:pos="8640"/>
      </w:tabs>
    </w:pPr>
  </w:style>
  <w:style w:type="character" w:styleId="PageNumber">
    <w:name w:val="page number"/>
    <w:basedOn w:val="DefaultParagraphFont"/>
    <w:rsid w:val="004379D6"/>
  </w:style>
  <w:style w:type="paragraph" w:styleId="DocumentMap">
    <w:name w:val="Document Map"/>
    <w:basedOn w:val="Normal"/>
    <w:semiHidden/>
    <w:rsid w:val="001C31B6"/>
    <w:pPr>
      <w:shd w:val="clear" w:color="auto" w:fill="000080"/>
    </w:pPr>
    <w:rPr>
      <w:rFonts w:ascii="Tahoma" w:hAnsi="Tahoma" w:cs="Tahoma"/>
      <w:sz w:val="20"/>
      <w:szCs w:val="20"/>
    </w:rPr>
  </w:style>
  <w:style w:type="character" w:customStyle="1" w:styleId="UnresolvedMention">
    <w:name w:val="Unresolved Mention"/>
    <w:uiPriority w:val="99"/>
    <w:semiHidden/>
    <w:unhideWhenUsed/>
    <w:rsid w:val="002A730C"/>
    <w:rPr>
      <w:color w:val="605E5C"/>
      <w:shd w:val="clear" w:color="auto" w:fill="E1DFDD"/>
    </w:rPr>
  </w:style>
  <w:style w:type="character" w:styleId="Emphasis">
    <w:name w:val="Emphasis"/>
    <w:uiPriority w:val="20"/>
    <w:qFormat/>
    <w:rsid w:val="007E68C2"/>
    <w:rPr>
      <w:i/>
      <w:iCs/>
    </w:rPr>
  </w:style>
  <w:style w:type="paragraph" w:styleId="FootnoteText">
    <w:name w:val="footnote text"/>
    <w:basedOn w:val="Normal"/>
    <w:link w:val="FootnoteTextChar"/>
    <w:rsid w:val="0019039D"/>
    <w:rPr>
      <w:sz w:val="20"/>
      <w:szCs w:val="20"/>
    </w:rPr>
  </w:style>
  <w:style w:type="character" w:customStyle="1" w:styleId="FootnoteTextChar">
    <w:name w:val="Footnote Text Char"/>
    <w:basedOn w:val="DefaultParagraphFont"/>
    <w:link w:val="FootnoteText"/>
    <w:rsid w:val="0019039D"/>
  </w:style>
  <w:style w:type="character" w:styleId="FootnoteReference">
    <w:name w:val="footnote reference"/>
    <w:rsid w:val="0019039D"/>
    <w:rPr>
      <w:vertAlign w:val="superscript"/>
    </w:rPr>
  </w:style>
  <w:style w:type="character" w:customStyle="1" w:styleId="cosearchwithinterm">
    <w:name w:val="co_searchwithinterm"/>
    <w:rsid w:val="00E3139A"/>
  </w:style>
  <w:style w:type="character" w:customStyle="1" w:styleId="cosearchterm">
    <w:name w:val="co_searchterm"/>
    <w:rsid w:val="002A4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phsa.org/AAICPC/AAICPC/icpc_faq_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9F753-5F8F-4169-8DE3-CA6DC7A9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4558</Words>
  <Characters>25983</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CPCS</Company>
  <LinksUpToDate>false</LinksUpToDate>
  <CharactersWithSpaces>30481</CharactersWithSpaces>
  <SharedDoc>false</SharedDoc>
  <HLinks>
    <vt:vector size="12" baseType="variant">
      <vt:variant>
        <vt:i4>786468</vt:i4>
      </vt:variant>
      <vt:variant>
        <vt:i4>15</vt:i4>
      </vt:variant>
      <vt:variant>
        <vt:i4>0</vt:i4>
      </vt:variant>
      <vt:variant>
        <vt:i4>5</vt:i4>
      </vt:variant>
      <vt:variant>
        <vt:lpwstr>mailto:felicia@shamanlaw.com</vt:lpwstr>
      </vt:variant>
      <vt:variant>
        <vt:lpwstr/>
      </vt:variant>
      <vt:variant>
        <vt:i4>6488115</vt:i4>
      </vt:variant>
      <vt:variant>
        <vt:i4>0</vt:i4>
      </vt:variant>
      <vt:variant>
        <vt:i4>0</vt:i4>
      </vt:variant>
      <vt:variant>
        <vt:i4>5</vt:i4>
      </vt:variant>
      <vt:variant>
        <vt:lpwstr>https://aphsa.org/AAICPC/AAICPC/icpc_faq_2.aspx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Sarah LoPresti</dc:creator>
  <cp:keywords/>
  <cp:lastModifiedBy>Sarah LoPresti</cp:lastModifiedBy>
  <cp:revision>2</cp:revision>
  <cp:lastPrinted>2014-09-17T15:54:00Z</cp:lastPrinted>
  <dcterms:created xsi:type="dcterms:W3CDTF">2021-02-12T14:46:00Z</dcterms:created>
  <dcterms:modified xsi:type="dcterms:W3CDTF">2021-02-12T14:46:00Z</dcterms:modified>
</cp:coreProperties>
</file>